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EB" w:rsidRPr="00407089" w:rsidRDefault="00CA6BEB" w:rsidP="00CA6BEB">
      <w:pPr>
        <w:jc w:val="both"/>
        <w:rPr>
          <w:rFonts w:ascii="Arial" w:hAnsi="Arial" w:cs="Arial"/>
          <w:i/>
          <w:sz w:val="22"/>
          <w:szCs w:val="22"/>
        </w:rPr>
      </w:pPr>
    </w:p>
    <w:p w:rsidR="00CA6BEB" w:rsidRPr="00407089" w:rsidRDefault="00CA6BEB" w:rsidP="00CA6BEB">
      <w:pPr>
        <w:jc w:val="both"/>
        <w:rPr>
          <w:rFonts w:ascii="Arial" w:hAnsi="Arial" w:cs="Arial"/>
          <w:i/>
          <w:sz w:val="22"/>
          <w:szCs w:val="22"/>
        </w:rPr>
      </w:pPr>
    </w:p>
    <w:p w:rsidR="00CA6BEB" w:rsidRPr="00407089" w:rsidRDefault="00CA6BEB" w:rsidP="00CA6BEB">
      <w:pPr>
        <w:jc w:val="both"/>
        <w:rPr>
          <w:rFonts w:ascii="Arial" w:hAnsi="Arial" w:cs="Arial"/>
          <w:i/>
          <w:sz w:val="22"/>
          <w:szCs w:val="22"/>
        </w:rPr>
      </w:pPr>
    </w:p>
    <w:p w:rsidR="00CA6BEB" w:rsidRPr="00407089" w:rsidRDefault="00CA6BEB" w:rsidP="00CA6BEB">
      <w:pPr>
        <w:jc w:val="both"/>
        <w:rPr>
          <w:rFonts w:ascii="Arial" w:hAnsi="Arial" w:cs="Arial"/>
          <w:i/>
          <w:sz w:val="22"/>
          <w:szCs w:val="22"/>
        </w:rPr>
      </w:pPr>
    </w:p>
    <w:p w:rsidR="00CA6BEB" w:rsidRPr="00407089" w:rsidRDefault="00CA6BEB" w:rsidP="00CA6BEB">
      <w:pPr>
        <w:jc w:val="both"/>
        <w:rPr>
          <w:rFonts w:ascii="Arial" w:hAnsi="Arial" w:cs="Arial"/>
          <w:i/>
          <w:sz w:val="22"/>
          <w:szCs w:val="22"/>
        </w:rPr>
      </w:pPr>
    </w:p>
    <w:p w:rsidR="00CA6BEB" w:rsidRPr="00407089" w:rsidRDefault="00CA6BEB" w:rsidP="00CA6BEB">
      <w:pPr>
        <w:jc w:val="both"/>
        <w:rPr>
          <w:rFonts w:ascii="Arial" w:hAnsi="Arial" w:cs="Arial"/>
          <w:i/>
          <w:sz w:val="22"/>
          <w:szCs w:val="22"/>
        </w:rPr>
      </w:pPr>
    </w:p>
    <w:p w:rsidR="00CA6BEB" w:rsidRPr="00407089" w:rsidRDefault="00CA6BEB" w:rsidP="00CA6BEB">
      <w:pPr>
        <w:jc w:val="both"/>
        <w:rPr>
          <w:rFonts w:ascii="Arial" w:hAnsi="Arial" w:cs="Arial"/>
          <w:i/>
          <w:sz w:val="22"/>
          <w:szCs w:val="22"/>
        </w:rPr>
      </w:pPr>
    </w:p>
    <w:tbl>
      <w:tblPr>
        <w:tblStyle w:val="TableGrid"/>
        <w:tblpPr w:leftFromText="180" w:rightFromText="180" w:vertAnchor="text" w:horzAnchor="page" w:tblpX="1369" w:tblpY="16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1940"/>
        <w:gridCol w:w="1505"/>
        <w:gridCol w:w="1493"/>
        <w:gridCol w:w="1806"/>
      </w:tblGrid>
      <w:tr w:rsidR="00CA6BEB" w:rsidRPr="00407089" w:rsidTr="007277FA">
        <w:tc>
          <w:tcPr>
            <w:tcW w:w="2031" w:type="dxa"/>
          </w:tcPr>
          <w:p w:rsidR="00CA6BEB" w:rsidRPr="00407089" w:rsidRDefault="00CA6BEB" w:rsidP="007277FA">
            <w:pPr>
              <w:pStyle w:val="NoSpacing"/>
              <w:jc w:val="center"/>
              <w:rPr>
                <w:rFonts w:ascii="Arial" w:hAnsi="Arial" w:cs="Arial"/>
                <w:b/>
                <w:bCs/>
                <w:noProof/>
                <w:color w:val="0000FF"/>
                <w:sz w:val="24"/>
                <w:szCs w:val="24"/>
                <w:lang w:val="en-GB" w:eastAsia="en-GB"/>
              </w:rPr>
            </w:pPr>
            <w:r>
              <w:rPr>
                <w:noProof/>
              </w:rPr>
              <w:drawing>
                <wp:inline distT="0" distB="0" distL="0" distR="0" wp14:anchorId="3F02043A" wp14:editId="4B68F7B7">
                  <wp:extent cx="1514475" cy="752475"/>
                  <wp:effectExtent l="0" t="0" r="9525" b="952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inline>
              </w:drawing>
            </w:r>
          </w:p>
        </w:tc>
        <w:tc>
          <w:tcPr>
            <w:tcW w:w="2271" w:type="dxa"/>
          </w:tcPr>
          <w:p w:rsidR="00CA6BEB" w:rsidRPr="00407089" w:rsidRDefault="00CA6BEB" w:rsidP="007277FA">
            <w:pPr>
              <w:pStyle w:val="NoSpacing"/>
              <w:bidi/>
              <w:jc w:val="center"/>
              <w:rPr>
                <w:rFonts w:ascii="Arial" w:hAnsi="Arial" w:cs="Arial"/>
                <w:b/>
                <w:bCs/>
                <w:color w:val="0000FF"/>
                <w:sz w:val="24"/>
                <w:szCs w:val="24"/>
                <w:lang w:val="en-GB" w:eastAsia="en-GB"/>
              </w:rPr>
            </w:pPr>
            <w:r w:rsidRPr="00407089">
              <w:rPr>
                <w:rFonts w:ascii="Arial" w:hAnsi="Arial" w:cs="Arial"/>
                <w:noProof/>
              </w:rPr>
              <w:drawing>
                <wp:inline distT="0" distB="0" distL="0" distR="0" wp14:anchorId="14F40EBC" wp14:editId="71E6014F">
                  <wp:extent cx="932815" cy="553016"/>
                  <wp:effectExtent l="0" t="0" r="635" b="0"/>
                  <wp:docPr id="27" name="Picture 1" descr="Description: new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vision"/>
                          <pic:cNvPicPr>
                            <a:picLocks noChangeAspect="1" noChangeArrowheads="1"/>
                          </pic:cNvPicPr>
                        </pic:nvPicPr>
                        <pic:blipFill>
                          <a:blip r:embed="rId8" r:link="rId9"/>
                          <a:srcRect/>
                          <a:stretch>
                            <a:fillRect/>
                          </a:stretch>
                        </pic:blipFill>
                        <pic:spPr bwMode="auto">
                          <a:xfrm>
                            <a:off x="0" y="0"/>
                            <a:ext cx="997188" cy="591179"/>
                          </a:xfrm>
                          <a:prstGeom prst="rect">
                            <a:avLst/>
                          </a:prstGeom>
                          <a:noFill/>
                          <a:ln w="9525">
                            <a:noFill/>
                            <a:miter lim="800000"/>
                            <a:headEnd/>
                            <a:tailEnd/>
                          </a:ln>
                        </pic:spPr>
                      </pic:pic>
                    </a:graphicData>
                  </a:graphic>
                </wp:inline>
              </w:drawing>
            </w:r>
          </w:p>
        </w:tc>
        <w:tc>
          <w:tcPr>
            <w:tcW w:w="1739" w:type="dxa"/>
          </w:tcPr>
          <w:p w:rsidR="00CA6BEB" w:rsidRPr="00407089" w:rsidRDefault="00CA6BEB" w:rsidP="007277FA">
            <w:pPr>
              <w:pStyle w:val="NoSpacing"/>
              <w:bidi/>
              <w:jc w:val="center"/>
              <w:rPr>
                <w:rFonts w:ascii="Arial" w:hAnsi="Arial" w:cs="Arial"/>
                <w:b/>
                <w:bCs/>
                <w:color w:val="0000FF"/>
                <w:sz w:val="24"/>
                <w:szCs w:val="24"/>
                <w:lang w:val="en-GB" w:eastAsia="en-GB"/>
              </w:rPr>
            </w:pPr>
            <w:r w:rsidRPr="00407089">
              <w:rPr>
                <w:rFonts w:ascii="Arial" w:hAnsi="Arial" w:cs="Arial"/>
                <w:noProof/>
              </w:rPr>
              <w:drawing>
                <wp:inline distT="0" distB="0" distL="0" distR="0" wp14:anchorId="1FCD2AB0" wp14:editId="1CEB6680">
                  <wp:extent cx="695325" cy="637540"/>
                  <wp:effectExtent l="0" t="0" r="9525" b="0"/>
                  <wp:docPr id="30" name="Picture 7" descr="ASA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A LOGO.jpg"/>
                          <pic:cNvPicPr/>
                        </pic:nvPicPr>
                        <pic:blipFill>
                          <a:blip r:embed="rId10"/>
                          <a:stretch>
                            <a:fillRect/>
                          </a:stretch>
                        </pic:blipFill>
                        <pic:spPr>
                          <a:xfrm>
                            <a:off x="0" y="0"/>
                            <a:ext cx="701104" cy="642839"/>
                          </a:xfrm>
                          <a:prstGeom prst="rect">
                            <a:avLst/>
                          </a:prstGeom>
                        </pic:spPr>
                      </pic:pic>
                    </a:graphicData>
                  </a:graphic>
                </wp:inline>
              </w:drawing>
            </w:r>
          </w:p>
        </w:tc>
        <w:tc>
          <w:tcPr>
            <w:tcW w:w="1749" w:type="dxa"/>
          </w:tcPr>
          <w:p w:rsidR="00CA6BEB" w:rsidRPr="00407089" w:rsidRDefault="00CA6BEB" w:rsidP="007277FA">
            <w:pPr>
              <w:pStyle w:val="NoSpacing"/>
              <w:bidi/>
              <w:jc w:val="center"/>
              <w:rPr>
                <w:rFonts w:ascii="Arial" w:hAnsi="Arial" w:cs="Arial"/>
                <w:b/>
                <w:bCs/>
                <w:color w:val="0000FF"/>
                <w:sz w:val="24"/>
                <w:szCs w:val="24"/>
                <w:lang w:val="en-GB" w:eastAsia="en-GB"/>
              </w:rPr>
            </w:pPr>
            <w:r w:rsidRPr="00407089">
              <w:rPr>
                <w:rFonts w:ascii="Arial" w:hAnsi="Arial" w:cs="Arial"/>
                <w:noProof/>
              </w:rPr>
              <w:drawing>
                <wp:inline distT="0" distB="0" distL="0" distR="0" wp14:anchorId="0DC7F7B2" wp14:editId="4B762E2C">
                  <wp:extent cx="676275" cy="637540"/>
                  <wp:effectExtent l="0" t="0" r="9525" b="0"/>
                  <wp:docPr id="31" name="Picture 6" descr="A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jpg"/>
                          <pic:cNvPicPr/>
                        </pic:nvPicPr>
                        <pic:blipFill>
                          <a:blip r:embed="rId11" cstate="print"/>
                          <a:stretch>
                            <a:fillRect/>
                          </a:stretch>
                        </pic:blipFill>
                        <pic:spPr>
                          <a:xfrm>
                            <a:off x="0" y="0"/>
                            <a:ext cx="675257" cy="636580"/>
                          </a:xfrm>
                          <a:prstGeom prst="rect">
                            <a:avLst/>
                          </a:prstGeom>
                        </pic:spPr>
                      </pic:pic>
                    </a:graphicData>
                  </a:graphic>
                </wp:inline>
              </w:drawing>
            </w:r>
          </w:p>
        </w:tc>
        <w:tc>
          <w:tcPr>
            <w:tcW w:w="1786" w:type="dxa"/>
          </w:tcPr>
          <w:p w:rsidR="00CA6BEB" w:rsidRPr="00407089" w:rsidRDefault="00CA6BEB" w:rsidP="007277FA">
            <w:pPr>
              <w:pStyle w:val="NoSpacing"/>
              <w:bidi/>
              <w:jc w:val="center"/>
              <w:rPr>
                <w:rFonts w:ascii="Arial" w:hAnsi="Arial" w:cs="Arial"/>
                <w:b/>
                <w:bCs/>
                <w:color w:val="0000FF"/>
                <w:sz w:val="24"/>
                <w:szCs w:val="24"/>
                <w:lang w:val="en-GB" w:eastAsia="en-GB"/>
              </w:rPr>
            </w:pPr>
            <w:r w:rsidRPr="00407089">
              <w:rPr>
                <w:rFonts w:ascii="Arial" w:hAnsi="Arial" w:cs="Arial"/>
                <w:noProof/>
              </w:rPr>
              <w:drawing>
                <wp:inline distT="0" distB="0" distL="0" distR="0" wp14:anchorId="0FD624E8" wp14:editId="2552805F">
                  <wp:extent cx="1009650" cy="636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1701" cy="706883"/>
                          </a:xfrm>
                          <a:prstGeom prst="rect">
                            <a:avLst/>
                          </a:prstGeom>
                          <a:noFill/>
                          <a:ln>
                            <a:noFill/>
                          </a:ln>
                        </pic:spPr>
                      </pic:pic>
                    </a:graphicData>
                  </a:graphic>
                </wp:inline>
              </w:drawing>
            </w:r>
          </w:p>
        </w:tc>
      </w:tr>
    </w:tbl>
    <w:p w:rsidR="00CA6BEB" w:rsidRPr="00D6348C" w:rsidRDefault="00CA6BEB" w:rsidP="00CA6BEB">
      <w:pPr>
        <w:jc w:val="center"/>
        <w:rPr>
          <w:rFonts w:asciiTheme="majorBidi" w:hAnsiTheme="majorBidi" w:cstheme="majorBidi"/>
          <w:b/>
          <w:bCs/>
          <w:sz w:val="40"/>
          <w:szCs w:val="40"/>
          <w:u w:val="single"/>
        </w:rPr>
      </w:pPr>
      <w:r w:rsidRPr="00D6348C">
        <w:rPr>
          <w:rFonts w:asciiTheme="majorBidi" w:hAnsiTheme="majorBidi" w:cstheme="majorBidi"/>
          <w:b/>
          <w:bCs/>
          <w:sz w:val="40"/>
          <w:szCs w:val="40"/>
          <w:u w:val="single"/>
        </w:rPr>
        <w:t>Concept note about DAMAN for SME’s</w:t>
      </w:r>
    </w:p>
    <w:p w:rsidR="00CA6BEB" w:rsidRPr="00D6348C" w:rsidRDefault="00CA6BEB" w:rsidP="00CA6BEB">
      <w:pPr>
        <w:jc w:val="center"/>
        <w:rPr>
          <w:rFonts w:asciiTheme="majorBidi" w:hAnsiTheme="majorBidi" w:cstheme="majorBidi"/>
          <w:b/>
          <w:bCs/>
          <w:sz w:val="40"/>
          <w:szCs w:val="40"/>
          <w:u w:val="single"/>
        </w:rPr>
      </w:pPr>
    </w:p>
    <w:p w:rsidR="00CA6BEB" w:rsidRPr="00407089" w:rsidRDefault="00CA6BEB" w:rsidP="00CA6BEB">
      <w:pPr>
        <w:jc w:val="center"/>
        <w:rPr>
          <w:rFonts w:ascii="Arial" w:hAnsi="Arial" w:cs="Arial"/>
          <w:b/>
          <w:bCs/>
          <w:sz w:val="22"/>
          <w:szCs w:val="22"/>
          <w:u w:val="single"/>
        </w:rPr>
      </w:pPr>
    </w:p>
    <w:p w:rsidR="00CA6BEB" w:rsidRPr="00407089" w:rsidRDefault="00CA6BEB" w:rsidP="00CA6BEB">
      <w:pPr>
        <w:jc w:val="center"/>
        <w:rPr>
          <w:rFonts w:ascii="Arial" w:hAnsi="Arial" w:cs="Arial"/>
          <w:b/>
          <w:bCs/>
          <w:sz w:val="22"/>
          <w:szCs w:val="22"/>
          <w:u w:val="single"/>
        </w:rPr>
      </w:pPr>
    </w:p>
    <w:p w:rsidR="00CA6BEB" w:rsidRPr="00407089" w:rsidRDefault="00CA6BEB" w:rsidP="00CA6BEB">
      <w:pPr>
        <w:jc w:val="center"/>
        <w:rPr>
          <w:rFonts w:ascii="Arial" w:hAnsi="Arial" w:cs="Arial"/>
          <w:b/>
          <w:bCs/>
          <w:sz w:val="22"/>
          <w:szCs w:val="22"/>
          <w:u w:val="single"/>
        </w:rPr>
      </w:pPr>
    </w:p>
    <w:p w:rsidR="00CA6BEB" w:rsidRPr="00407089" w:rsidRDefault="00CA6BEB" w:rsidP="00CA6BEB">
      <w:pPr>
        <w:jc w:val="center"/>
        <w:rPr>
          <w:rFonts w:ascii="Arial" w:hAnsi="Arial" w:cs="Arial"/>
          <w:b/>
          <w:bCs/>
          <w:sz w:val="22"/>
          <w:szCs w:val="22"/>
          <w:u w:val="single"/>
        </w:rPr>
      </w:pPr>
    </w:p>
    <w:p w:rsidR="00CA6BEB" w:rsidRPr="00407089" w:rsidRDefault="00CA6BEB" w:rsidP="00CA6BEB">
      <w:pPr>
        <w:jc w:val="both"/>
        <w:rPr>
          <w:rFonts w:ascii="Arial" w:hAnsi="Arial" w:cs="Arial"/>
          <w:b/>
          <w:bCs/>
          <w:sz w:val="22"/>
          <w:szCs w:val="22"/>
          <w:u w:val="single"/>
        </w:rPr>
      </w:pPr>
    </w:p>
    <w:p w:rsidR="00CA6BEB" w:rsidRPr="00407089" w:rsidRDefault="00CA6BEB" w:rsidP="00CA6BEB">
      <w:pPr>
        <w:jc w:val="both"/>
        <w:rPr>
          <w:rFonts w:ascii="Arial" w:hAnsi="Arial" w:cs="Arial"/>
          <w:b/>
          <w:bCs/>
          <w:sz w:val="22"/>
          <w:szCs w:val="22"/>
          <w:u w:val="single"/>
        </w:rPr>
      </w:pPr>
    </w:p>
    <w:p w:rsidR="00CA6BEB" w:rsidRPr="00407089" w:rsidRDefault="00CA6BEB" w:rsidP="00CA6BEB">
      <w:pPr>
        <w:jc w:val="both"/>
        <w:rPr>
          <w:rFonts w:ascii="Arial" w:hAnsi="Arial" w:cs="Arial"/>
          <w:b/>
          <w:bCs/>
          <w:sz w:val="22"/>
          <w:szCs w:val="22"/>
          <w:u w:val="single"/>
        </w:rPr>
      </w:pPr>
    </w:p>
    <w:p w:rsidR="00CA6BEB" w:rsidRPr="00407089" w:rsidRDefault="00CA6BEB" w:rsidP="00CA6BEB">
      <w:pPr>
        <w:jc w:val="both"/>
        <w:rPr>
          <w:rFonts w:ascii="Arial" w:hAnsi="Arial" w:cs="Arial"/>
          <w:b/>
          <w:bCs/>
          <w:sz w:val="22"/>
          <w:szCs w:val="22"/>
          <w:u w:val="single"/>
        </w:rPr>
      </w:pPr>
    </w:p>
    <w:p w:rsidR="00CA6BEB" w:rsidRPr="00407089" w:rsidRDefault="00CA6BEB" w:rsidP="00CA6BEB">
      <w:pPr>
        <w:jc w:val="both"/>
        <w:rPr>
          <w:rFonts w:ascii="Arial" w:hAnsi="Arial" w:cs="Arial"/>
          <w:b/>
          <w:bCs/>
          <w:sz w:val="22"/>
          <w:szCs w:val="22"/>
          <w:u w:val="single"/>
        </w:rPr>
      </w:pPr>
    </w:p>
    <w:p w:rsidR="00CA6BEB" w:rsidRPr="00407089" w:rsidRDefault="00CA6BEB" w:rsidP="00CA6BEB">
      <w:pPr>
        <w:jc w:val="both"/>
        <w:rPr>
          <w:rFonts w:ascii="Arial" w:hAnsi="Arial" w:cs="Arial"/>
          <w:b/>
          <w:bCs/>
          <w:sz w:val="22"/>
          <w:szCs w:val="22"/>
          <w:u w:val="single"/>
        </w:rPr>
      </w:pPr>
    </w:p>
    <w:p w:rsidR="00CA6BEB" w:rsidRPr="008804A6" w:rsidRDefault="00CA6BEB" w:rsidP="00CA6BEB">
      <w:pPr>
        <w:jc w:val="center"/>
        <w:rPr>
          <w:rFonts w:asciiTheme="majorBidi" w:hAnsiTheme="majorBidi" w:cstheme="majorBidi"/>
          <w:b/>
          <w:bCs/>
          <w:sz w:val="28"/>
          <w:szCs w:val="28"/>
          <w:u w:val="single"/>
          <w:lang w:val="fr-FR"/>
        </w:rPr>
      </w:pPr>
      <w:r w:rsidRPr="008804A6">
        <w:rPr>
          <w:rFonts w:asciiTheme="majorBidi" w:hAnsiTheme="majorBidi" w:cstheme="majorBidi"/>
          <w:b/>
          <w:bCs/>
          <w:sz w:val="28"/>
          <w:szCs w:val="28"/>
          <w:u w:val="single"/>
          <w:lang w:val="fr-FR"/>
        </w:rPr>
        <w:t>Contact information</w:t>
      </w:r>
    </w:p>
    <w:p w:rsidR="00CA6BEB" w:rsidRPr="008804A6" w:rsidRDefault="00CA6BEB" w:rsidP="00CA6BEB">
      <w:pPr>
        <w:jc w:val="center"/>
        <w:rPr>
          <w:rFonts w:asciiTheme="majorBidi" w:hAnsiTheme="majorBidi" w:cstheme="majorBidi"/>
          <w:b/>
          <w:bCs/>
          <w:sz w:val="28"/>
          <w:szCs w:val="28"/>
          <w:u w:val="single"/>
          <w:lang w:val="fr-FR"/>
        </w:rPr>
      </w:pPr>
      <w:r w:rsidRPr="008804A6">
        <w:rPr>
          <w:rFonts w:asciiTheme="majorBidi" w:hAnsiTheme="majorBidi" w:cstheme="majorBidi"/>
          <w:b/>
          <w:bCs/>
          <w:sz w:val="28"/>
          <w:szCs w:val="28"/>
          <w:u w:val="single"/>
          <w:lang w:val="fr-FR"/>
        </w:rPr>
        <w:t>Judeh Jamal / CEO</w:t>
      </w:r>
    </w:p>
    <w:p w:rsidR="00CA6BEB" w:rsidRPr="008804A6" w:rsidRDefault="00CA6BEB" w:rsidP="00CA6BEB">
      <w:pPr>
        <w:jc w:val="center"/>
        <w:rPr>
          <w:rFonts w:asciiTheme="majorBidi" w:hAnsiTheme="majorBidi" w:cstheme="majorBidi"/>
          <w:b/>
          <w:bCs/>
          <w:sz w:val="28"/>
          <w:szCs w:val="28"/>
          <w:lang w:val="fr-FR"/>
        </w:rPr>
      </w:pPr>
      <w:r w:rsidRPr="008804A6">
        <w:rPr>
          <w:rFonts w:asciiTheme="majorBidi" w:hAnsiTheme="majorBidi" w:cstheme="majorBidi"/>
          <w:b/>
          <w:bCs/>
          <w:sz w:val="28"/>
          <w:szCs w:val="28"/>
          <w:u w:val="single"/>
          <w:lang w:val="fr-FR"/>
        </w:rPr>
        <w:t>E-mail</w:t>
      </w:r>
      <w:r w:rsidRPr="008804A6">
        <w:rPr>
          <w:rFonts w:asciiTheme="majorBidi" w:hAnsiTheme="majorBidi" w:cstheme="majorBidi"/>
          <w:b/>
          <w:bCs/>
          <w:sz w:val="28"/>
          <w:szCs w:val="28"/>
          <w:lang w:val="fr-FR"/>
        </w:rPr>
        <w:t>: jdjamal61@gmail.com</w:t>
      </w:r>
    </w:p>
    <w:p w:rsidR="00CA6BEB" w:rsidRPr="008804A6" w:rsidRDefault="00CA6BEB" w:rsidP="00CA6BEB">
      <w:pPr>
        <w:jc w:val="center"/>
        <w:rPr>
          <w:rFonts w:asciiTheme="majorBidi" w:hAnsiTheme="majorBidi" w:cstheme="majorBidi"/>
          <w:b/>
          <w:bCs/>
          <w:sz w:val="28"/>
          <w:szCs w:val="28"/>
          <w:u w:val="single"/>
          <w:lang w:val="fr-FR"/>
        </w:rPr>
      </w:pPr>
    </w:p>
    <w:p w:rsidR="00CA6BEB" w:rsidRPr="006220A9" w:rsidRDefault="00CA6BEB" w:rsidP="00CA6BEB">
      <w:pPr>
        <w:jc w:val="center"/>
        <w:rPr>
          <w:rFonts w:asciiTheme="majorBidi" w:hAnsiTheme="majorBidi" w:cstheme="majorBidi"/>
          <w:b/>
          <w:bCs/>
          <w:sz w:val="28"/>
          <w:szCs w:val="28"/>
        </w:rPr>
      </w:pPr>
      <w:r w:rsidRPr="006220A9">
        <w:rPr>
          <w:rFonts w:asciiTheme="majorBidi" w:hAnsiTheme="majorBidi" w:cstheme="majorBidi"/>
          <w:b/>
          <w:bCs/>
          <w:sz w:val="28"/>
          <w:szCs w:val="28"/>
          <w:u w:val="single"/>
        </w:rPr>
        <w:t>J</w:t>
      </w:r>
      <w:r>
        <w:rPr>
          <w:rFonts w:asciiTheme="majorBidi" w:hAnsiTheme="majorBidi" w:cstheme="majorBidi"/>
          <w:b/>
          <w:bCs/>
          <w:sz w:val="28"/>
          <w:szCs w:val="28"/>
          <w:u w:val="single"/>
        </w:rPr>
        <w:t>AWWAL</w:t>
      </w:r>
      <w:r w:rsidRPr="006220A9">
        <w:rPr>
          <w:rFonts w:asciiTheme="majorBidi" w:hAnsiTheme="majorBidi" w:cstheme="majorBidi"/>
          <w:b/>
          <w:bCs/>
          <w:sz w:val="28"/>
          <w:szCs w:val="28"/>
        </w:rPr>
        <w:t>: 00970598665111</w:t>
      </w:r>
    </w:p>
    <w:p w:rsidR="00CA6BEB" w:rsidRDefault="00CA6BEB" w:rsidP="00CA6BEB">
      <w:pPr>
        <w:jc w:val="center"/>
        <w:rPr>
          <w:rFonts w:asciiTheme="majorBidi" w:hAnsiTheme="majorBidi" w:cstheme="majorBidi"/>
          <w:b/>
          <w:bCs/>
          <w:sz w:val="28"/>
          <w:szCs w:val="28"/>
        </w:rPr>
      </w:pPr>
      <w:r w:rsidRPr="006220A9">
        <w:rPr>
          <w:rFonts w:asciiTheme="majorBidi" w:hAnsiTheme="majorBidi" w:cstheme="majorBidi"/>
          <w:b/>
          <w:bCs/>
          <w:sz w:val="28"/>
          <w:szCs w:val="28"/>
        </w:rPr>
        <w:t>00972525000017</w:t>
      </w:r>
    </w:p>
    <w:p w:rsidR="0076715F" w:rsidRDefault="0076715F" w:rsidP="00CA6BEB">
      <w:pPr>
        <w:jc w:val="center"/>
        <w:rPr>
          <w:rFonts w:asciiTheme="majorBidi" w:hAnsiTheme="majorBidi" w:cstheme="majorBidi"/>
          <w:b/>
          <w:bCs/>
          <w:sz w:val="28"/>
          <w:szCs w:val="28"/>
        </w:rPr>
      </w:pPr>
      <w:r>
        <w:rPr>
          <w:rFonts w:asciiTheme="majorBidi" w:hAnsiTheme="majorBidi" w:cstheme="majorBidi"/>
          <w:b/>
          <w:bCs/>
          <w:sz w:val="28"/>
          <w:szCs w:val="28"/>
        </w:rPr>
        <w:t>Tel. 022964856</w:t>
      </w:r>
    </w:p>
    <w:p w:rsidR="0076715F" w:rsidRDefault="0076715F" w:rsidP="00CA6BEB">
      <w:pPr>
        <w:jc w:val="center"/>
        <w:rPr>
          <w:rFonts w:asciiTheme="majorBidi" w:hAnsiTheme="majorBidi" w:cstheme="majorBidi"/>
          <w:b/>
          <w:bCs/>
          <w:sz w:val="28"/>
          <w:szCs w:val="28"/>
        </w:rPr>
      </w:pPr>
      <w:r>
        <w:rPr>
          <w:rFonts w:asciiTheme="majorBidi" w:hAnsiTheme="majorBidi" w:cstheme="majorBidi"/>
          <w:b/>
          <w:bCs/>
          <w:sz w:val="28"/>
          <w:szCs w:val="28"/>
        </w:rPr>
        <w:t>Fax. 022964857</w:t>
      </w:r>
    </w:p>
    <w:p w:rsidR="0076715F" w:rsidRDefault="0076715F" w:rsidP="00CA6BEB">
      <w:pPr>
        <w:jc w:val="center"/>
        <w:rPr>
          <w:rFonts w:asciiTheme="majorBidi" w:hAnsiTheme="majorBidi" w:cstheme="majorBidi"/>
          <w:b/>
          <w:bCs/>
          <w:sz w:val="28"/>
          <w:szCs w:val="28"/>
        </w:rPr>
      </w:pPr>
      <w:r>
        <w:rPr>
          <w:rFonts w:asciiTheme="majorBidi" w:hAnsiTheme="majorBidi" w:cstheme="majorBidi"/>
          <w:b/>
          <w:bCs/>
          <w:sz w:val="28"/>
          <w:szCs w:val="28"/>
        </w:rPr>
        <w:t xml:space="preserve">Al-Irsal Street, Faramand Building </w:t>
      </w:r>
    </w:p>
    <w:p w:rsidR="0076715F" w:rsidRPr="006220A9" w:rsidRDefault="0076715F" w:rsidP="00CA6BEB">
      <w:pPr>
        <w:jc w:val="center"/>
        <w:rPr>
          <w:rFonts w:asciiTheme="majorBidi" w:hAnsiTheme="majorBidi" w:cstheme="majorBidi"/>
          <w:b/>
          <w:bCs/>
          <w:sz w:val="28"/>
          <w:szCs w:val="28"/>
          <w:u w:val="single"/>
        </w:rPr>
      </w:pPr>
      <w:r>
        <w:rPr>
          <w:rFonts w:asciiTheme="majorBidi" w:hAnsiTheme="majorBidi" w:cstheme="majorBidi"/>
          <w:b/>
          <w:bCs/>
          <w:sz w:val="28"/>
          <w:szCs w:val="28"/>
        </w:rPr>
        <w:t>2</w:t>
      </w:r>
      <w:r w:rsidRPr="0076715F">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Floor </w:t>
      </w:r>
    </w:p>
    <w:p w:rsidR="00CA6BEB" w:rsidRPr="006220A9" w:rsidRDefault="00CA6BEB" w:rsidP="00CA6BEB">
      <w:pPr>
        <w:jc w:val="center"/>
        <w:rPr>
          <w:rFonts w:asciiTheme="majorBidi" w:hAnsiTheme="majorBidi" w:cstheme="majorBidi"/>
          <w:b/>
          <w:bCs/>
          <w:sz w:val="28"/>
          <w:szCs w:val="28"/>
          <w:u w:val="single"/>
        </w:rPr>
      </w:pPr>
    </w:p>
    <w:p w:rsidR="00CA6BEB" w:rsidRDefault="00CA6BEB" w:rsidP="00CA6BEB">
      <w:pPr>
        <w:jc w:val="center"/>
        <w:rPr>
          <w:rFonts w:asciiTheme="majorBidi" w:hAnsiTheme="majorBidi" w:cstheme="majorBidi"/>
          <w:b/>
          <w:bCs/>
          <w:sz w:val="28"/>
          <w:szCs w:val="28"/>
          <w:u w:val="single"/>
        </w:rPr>
      </w:pPr>
    </w:p>
    <w:p w:rsidR="00CA6BEB" w:rsidRDefault="00CA6BEB" w:rsidP="00CA6BEB">
      <w:pPr>
        <w:jc w:val="center"/>
        <w:rPr>
          <w:rFonts w:asciiTheme="majorBidi" w:hAnsiTheme="majorBidi" w:cstheme="majorBidi"/>
          <w:b/>
          <w:bCs/>
          <w:sz w:val="28"/>
          <w:szCs w:val="28"/>
          <w:u w:val="single"/>
        </w:rPr>
      </w:pPr>
    </w:p>
    <w:p w:rsidR="00CA6BEB" w:rsidRPr="00D6348C" w:rsidRDefault="0076715F" w:rsidP="00EB65D6">
      <w:pPr>
        <w:jc w:val="center"/>
        <w:rPr>
          <w:rFonts w:asciiTheme="majorBidi" w:hAnsiTheme="majorBidi" w:cstheme="majorBidi"/>
          <w:b/>
          <w:bCs/>
          <w:sz w:val="32"/>
          <w:szCs w:val="32"/>
          <w:u w:val="single"/>
        </w:rPr>
      </w:pPr>
      <w:r>
        <w:rPr>
          <w:rFonts w:asciiTheme="majorBidi" w:hAnsiTheme="majorBidi" w:cstheme="majorBidi"/>
          <w:b/>
          <w:bCs/>
          <w:sz w:val="32"/>
          <w:szCs w:val="32"/>
          <w:u w:val="single"/>
        </w:rPr>
        <w:t>Ju</w:t>
      </w:r>
      <w:r w:rsidR="00EB65D6">
        <w:rPr>
          <w:rFonts w:asciiTheme="majorBidi" w:hAnsiTheme="majorBidi" w:cstheme="majorBidi"/>
          <w:b/>
          <w:bCs/>
          <w:sz w:val="32"/>
          <w:szCs w:val="32"/>
          <w:u w:val="single"/>
        </w:rPr>
        <w:t xml:space="preserve">ly </w:t>
      </w:r>
      <w:r w:rsidR="00CA6BEB" w:rsidRPr="00D6348C">
        <w:rPr>
          <w:rFonts w:asciiTheme="majorBidi" w:hAnsiTheme="majorBidi" w:cstheme="majorBidi"/>
          <w:b/>
          <w:bCs/>
          <w:sz w:val="32"/>
          <w:szCs w:val="32"/>
          <w:u w:val="single"/>
        </w:rPr>
        <w:t>20</w:t>
      </w:r>
      <w:r>
        <w:rPr>
          <w:rFonts w:asciiTheme="majorBidi" w:hAnsiTheme="majorBidi" w:cstheme="majorBidi"/>
          <w:b/>
          <w:bCs/>
          <w:sz w:val="32"/>
          <w:szCs w:val="32"/>
          <w:u w:val="single"/>
        </w:rPr>
        <w:t>20</w:t>
      </w:r>
    </w:p>
    <w:p w:rsidR="00CA6BEB" w:rsidRPr="00D6348C" w:rsidRDefault="00CA6BEB" w:rsidP="00CA6BEB">
      <w:pPr>
        <w:jc w:val="both"/>
        <w:rPr>
          <w:rFonts w:asciiTheme="majorBidi" w:hAnsiTheme="majorBidi" w:cstheme="majorBidi"/>
          <w:b/>
          <w:bCs/>
          <w:sz w:val="32"/>
          <w:szCs w:val="32"/>
          <w:u w:val="single"/>
        </w:rPr>
      </w:pPr>
    </w:p>
    <w:p w:rsidR="00CA6BEB" w:rsidRDefault="00CA6BEB" w:rsidP="00CA6BEB">
      <w:pPr>
        <w:jc w:val="both"/>
        <w:rPr>
          <w:rFonts w:ascii="Arial" w:hAnsi="Arial" w:cs="Arial"/>
          <w:b/>
          <w:bCs/>
          <w:sz w:val="22"/>
          <w:szCs w:val="22"/>
          <w:u w:val="single"/>
        </w:rPr>
      </w:pPr>
    </w:p>
    <w:p w:rsidR="00CA6BEB" w:rsidRDefault="00CA6BEB" w:rsidP="00CA6BEB">
      <w:pPr>
        <w:jc w:val="both"/>
        <w:rPr>
          <w:rFonts w:ascii="Arial" w:hAnsi="Arial" w:cs="Arial"/>
          <w:b/>
          <w:bCs/>
          <w:sz w:val="22"/>
          <w:szCs w:val="22"/>
          <w:u w:val="single"/>
        </w:rPr>
      </w:pPr>
    </w:p>
    <w:p w:rsidR="00CA6BEB" w:rsidRDefault="00CA6BEB" w:rsidP="00CA6BEB">
      <w:pPr>
        <w:jc w:val="both"/>
        <w:rPr>
          <w:rFonts w:ascii="Arial" w:hAnsi="Arial" w:cs="Arial"/>
          <w:b/>
          <w:bCs/>
          <w:sz w:val="22"/>
          <w:szCs w:val="22"/>
          <w:u w:val="single"/>
        </w:rPr>
      </w:pPr>
    </w:p>
    <w:p w:rsidR="00CA6BEB" w:rsidRDefault="00CA6BEB" w:rsidP="00CA6BEB">
      <w:pPr>
        <w:jc w:val="both"/>
        <w:rPr>
          <w:rFonts w:ascii="Arial" w:hAnsi="Arial" w:cs="Arial"/>
          <w:b/>
          <w:bCs/>
          <w:sz w:val="22"/>
          <w:szCs w:val="22"/>
          <w:u w:val="single"/>
        </w:rPr>
      </w:pPr>
    </w:p>
    <w:p w:rsidR="00CA6BEB" w:rsidRDefault="00CA6BEB" w:rsidP="00CA6BEB">
      <w:pPr>
        <w:jc w:val="both"/>
        <w:rPr>
          <w:rFonts w:ascii="Arial" w:hAnsi="Arial" w:cs="Arial"/>
          <w:b/>
          <w:bCs/>
          <w:sz w:val="28"/>
          <w:szCs w:val="28"/>
        </w:rPr>
      </w:pPr>
    </w:p>
    <w:p w:rsidR="00CA6BEB" w:rsidRPr="006220A9" w:rsidRDefault="00CA6BEB" w:rsidP="00CA6BEB">
      <w:pPr>
        <w:jc w:val="both"/>
        <w:rPr>
          <w:rFonts w:ascii="Arial" w:hAnsi="Arial" w:cs="Arial"/>
          <w:b/>
          <w:bCs/>
          <w:sz w:val="28"/>
          <w:szCs w:val="28"/>
        </w:rPr>
      </w:pPr>
      <w:r w:rsidRPr="006220A9">
        <w:rPr>
          <w:rFonts w:ascii="Arial" w:hAnsi="Arial" w:cs="Arial"/>
          <w:b/>
          <w:bCs/>
          <w:sz w:val="28"/>
          <w:szCs w:val="28"/>
        </w:rPr>
        <w:t>Glossary</w:t>
      </w:r>
    </w:p>
    <w:p w:rsidR="00CA6BEB" w:rsidRDefault="00CA6BEB" w:rsidP="00CA6BEB">
      <w:pPr>
        <w:jc w:val="both"/>
        <w:rPr>
          <w:rFonts w:ascii="Arial" w:hAnsi="Arial" w:cs="Arial"/>
          <w:b/>
          <w:bCs/>
          <w:sz w:val="22"/>
          <w:szCs w:val="22"/>
          <w:u w:val="single"/>
        </w:rPr>
      </w:pPr>
    </w:p>
    <w:p w:rsidR="00CA6BEB" w:rsidRDefault="00CA6BEB" w:rsidP="00CA6BEB">
      <w:pPr>
        <w:jc w:val="both"/>
        <w:rPr>
          <w:rFonts w:ascii="Arial" w:hAnsi="Arial" w:cs="Arial"/>
          <w:b/>
          <w:bCs/>
          <w:sz w:val="22"/>
          <w:szCs w:val="22"/>
          <w:u w:val="single"/>
        </w:rPr>
      </w:pPr>
    </w:p>
    <w:p w:rsidR="00CA6BEB" w:rsidRPr="00E6620A" w:rsidRDefault="00CA6BEB" w:rsidP="00CA6BEB">
      <w:pPr>
        <w:jc w:val="both"/>
        <w:rPr>
          <w:rStyle w:val="SubtleEmphasis"/>
          <w:rFonts w:ascii="Arial" w:hAnsi="Arial" w:cs="Arial"/>
          <w:i w:val="0"/>
          <w:color w:val="000000" w:themeColor="text1"/>
          <w:sz w:val="22"/>
          <w:szCs w:val="22"/>
        </w:rPr>
      </w:pPr>
      <w:r w:rsidRPr="006220A9">
        <w:rPr>
          <w:rFonts w:ascii="Arial" w:hAnsi="Arial" w:cs="Arial"/>
          <w:b/>
          <w:bCs/>
          <w:sz w:val="22"/>
          <w:szCs w:val="22"/>
        </w:rPr>
        <w:t>ACAD</w:t>
      </w:r>
      <w:r w:rsidRPr="006220A9">
        <w:rPr>
          <w:rFonts w:ascii="Arial" w:hAnsi="Arial" w:cs="Arial"/>
          <w:bCs/>
          <w:sz w:val="22"/>
          <w:szCs w:val="22"/>
        </w:rPr>
        <w:t xml:space="preserve">: </w:t>
      </w:r>
      <w:r w:rsidRPr="00E6620A">
        <w:rPr>
          <w:rStyle w:val="SubtleEmphasis"/>
          <w:rFonts w:ascii="Arial" w:hAnsi="Arial" w:cs="Arial"/>
          <w:color w:val="000000" w:themeColor="text1"/>
          <w:sz w:val="22"/>
          <w:szCs w:val="22"/>
        </w:rPr>
        <w:t>Arab Centre for Agricultural Development</w:t>
      </w:r>
    </w:p>
    <w:p w:rsidR="00CA6BEB" w:rsidRPr="00E6620A" w:rsidRDefault="00CA6BEB" w:rsidP="00CA6BEB">
      <w:pPr>
        <w:jc w:val="both"/>
        <w:rPr>
          <w:rStyle w:val="SubtleEmphasis"/>
          <w:rFonts w:ascii="Arial" w:hAnsi="Arial" w:cs="Arial"/>
          <w:i w:val="0"/>
          <w:color w:val="000000" w:themeColor="text1"/>
          <w:sz w:val="22"/>
          <w:szCs w:val="22"/>
        </w:rPr>
      </w:pPr>
    </w:p>
    <w:p w:rsidR="00CA6BEB" w:rsidRPr="006220A9" w:rsidRDefault="00CA6BEB" w:rsidP="00CA6BEB">
      <w:pPr>
        <w:jc w:val="both"/>
        <w:rPr>
          <w:rFonts w:ascii="Arial" w:hAnsi="Arial" w:cs="Arial"/>
          <w:bCs/>
          <w:sz w:val="22"/>
          <w:szCs w:val="22"/>
        </w:rPr>
      </w:pPr>
      <w:r w:rsidRPr="006220A9">
        <w:rPr>
          <w:b/>
          <w:bCs/>
        </w:rPr>
        <w:t>ASALA</w:t>
      </w:r>
      <w:r w:rsidRPr="00E6620A">
        <w:rPr>
          <w:rStyle w:val="SubtleEmphasis"/>
          <w:rFonts w:ascii="Arial" w:hAnsi="Arial" w:cs="Arial"/>
          <w:color w:val="000000" w:themeColor="text1"/>
          <w:sz w:val="22"/>
          <w:szCs w:val="22"/>
        </w:rPr>
        <w:t>: Palestinian Business women’s Association</w:t>
      </w:r>
    </w:p>
    <w:p w:rsidR="00CA6BEB" w:rsidRPr="006220A9" w:rsidRDefault="00CA6BEB" w:rsidP="00CA6BEB">
      <w:pPr>
        <w:jc w:val="both"/>
        <w:rPr>
          <w:rFonts w:ascii="Arial" w:hAnsi="Arial" w:cs="Arial"/>
          <w:bCs/>
          <w:sz w:val="22"/>
          <w:szCs w:val="22"/>
        </w:rPr>
      </w:pPr>
    </w:p>
    <w:p w:rsidR="00CA6BEB" w:rsidRPr="006220A9" w:rsidRDefault="00CA6BEB" w:rsidP="00CA6BEB">
      <w:pPr>
        <w:jc w:val="both"/>
        <w:rPr>
          <w:rStyle w:val="SubtleEmphasis"/>
          <w:rFonts w:ascii="Arial" w:hAnsi="Arial" w:cs="Arial"/>
          <w:bCs/>
          <w:i w:val="0"/>
          <w:color w:val="000000" w:themeColor="text1"/>
          <w:sz w:val="22"/>
          <w:szCs w:val="22"/>
        </w:rPr>
      </w:pPr>
      <w:r w:rsidRPr="00A5597D">
        <w:rPr>
          <w:b/>
        </w:rPr>
        <w:t>DfS:</w:t>
      </w:r>
      <w:r w:rsidRPr="00A5597D">
        <w:rPr>
          <w:rStyle w:val="SubtleEmphasis"/>
          <w:rFonts w:ascii="Arial" w:hAnsi="Arial" w:cs="Arial"/>
          <w:bCs/>
          <w:color w:val="000000" w:themeColor="text1"/>
          <w:sz w:val="22"/>
          <w:szCs w:val="22"/>
        </w:rPr>
        <w:t xml:space="preserve"> </w:t>
      </w:r>
      <w:r w:rsidRPr="006220A9">
        <w:rPr>
          <w:rStyle w:val="SubtleEmphasis"/>
          <w:rFonts w:ascii="Arial" w:hAnsi="Arial" w:cs="Arial"/>
          <w:bCs/>
          <w:color w:val="000000" w:themeColor="text1"/>
          <w:sz w:val="22"/>
          <w:szCs w:val="22"/>
        </w:rPr>
        <w:t>DAMAN for SME’s</w:t>
      </w:r>
    </w:p>
    <w:p w:rsidR="00CA6BEB" w:rsidRPr="006220A9" w:rsidRDefault="00CA6BEB" w:rsidP="00CA6BEB">
      <w:pPr>
        <w:jc w:val="both"/>
        <w:rPr>
          <w:rStyle w:val="SubtleEmphasis"/>
          <w:rFonts w:ascii="Arial" w:hAnsi="Arial" w:cs="Arial"/>
          <w:bCs/>
          <w:i w:val="0"/>
          <w:color w:val="000000" w:themeColor="text1"/>
          <w:sz w:val="22"/>
          <w:szCs w:val="22"/>
        </w:rPr>
      </w:pPr>
    </w:p>
    <w:p w:rsidR="00CA6BEB" w:rsidRPr="006220A9" w:rsidRDefault="00CA6BEB" w:rsidP="00CA6BEB">
      <w:pPr>
        <w:jc w:val="both"/>
        <w:rPr>
          <w:rFonts w:ascii="Arial" w:hAnsi="Arial" w:cs="Arial"/>
          <w:bCs/>
          <w:sz w:val="22"/>
          <w:szCs w:val="22"/>
        </w:rPr>
      </w:pPr>
      <w:r w:rsidRPr="00A5597D">
        <w:rPr>
          <w:b/>
        </w:rPr>
        <w:t>MFI</w:t>
      </w:r>
      <w:r w:rsidRPr="00A5597D">
        <w:rPr>
          <w:rStyle w:val="SubtleEmphasis"/>
          <w:rFonts w:ascii="Arial" w:hAnsi="Arial" w:cs="Arial"/>
          <w:b/>
          <w:bCs/>
          <w:color w:val="000000" w:themeColor="text1"/>
          <w:sz w:val="22"/>
          <w:szCs w:val="22"/>
        </w:rPr>
        <w:t>:</w:t>
      </w:r>
      <w:r w:rsidRPr="00A5597D">
        <w:rPr>
          <w:rStyle w:val="SubtleEmphasis"/>
          <w:rFonts w:ascii="Arial" w:hAnsi="Arial" w:cs="Arial"/>
          <w:bCs/>
          <w:color w:val="000000" w:themeColor="text1"/>
          <w:sz w:val="22"/>
          <w:szCs w:val="22"/>
        </w:rPr>
        <w:t xml:space="preserve"> </w:t>
      </w:r>
      <w:r w:rsidRPr="006220A9">
        <w:rPr>
          <w:rStyle w:val="SubtleEmphasis"/>
          <w:rFonts w:ascii="Arial" w:hAnsi="Arial" w:cs="Arial"/>
          <w:bCs/>
          <w:color w:val="000000" w:themeColor="text1"/>
          <w:sz w:val="22"/>
          <w:szCs w:val="22"/>
        </w:rPr>
        <w:t>Micro</w:t>
      </w:r>
      <w:r>
        <w:rPr>
          <w:rStyle w:val="SubtleEmphasis"/>
          <w:rFonts w:ascii="Arial" w:hAnsi="Arial" w:cs="Arial"/>
          <w:bCs/>
          <w:color w:val="000000" w:themeColor="text1"/>
          <w:sz w:val="22"/>
          <w:szCs w:val="22"/>
        </w:rPr>
        <w:t xml:space="preserve"> </w:t>
      </w:r>
      <w:r w:rsidRPr="006220A9">
        <w:rPr>
          <w:rStyle w:val="SubtleEmphasis"/>
          <w:rFonts w:ascii="Arial" w:hAnsi="Arial" w:cs="Arial"/>
          <w:bCs/>
          <w:color w:val="000000" w:themeColor="text1"/>
          <w:sz w:val="22"/>
          <w:szCs w:val="22"/>
        </w:rPr>
        <w:t>Finance Institutions</w:t>
      </w:r>
    </w:p>
    <w:p w:rsidR="00CA6BEB" w:rsidRPr="006220A9" w:rsidRDefault="00CA6BEB" w:rsidP="00CA6BEB">
      <w:pPr>
        <w:jc w:val="both"/>
        <w:rPr>
          <w:rFonts w:ascii="Arial" w:hAnsi="Arial" w:cs="Arial"/>
          <w:bCs/>
          <w:sz w:val="22"/>
          <w:szCs w:val="22"/>
        </w:rPr>
      </w:pPr>
    </w:p>
    <w:p w:rsidR="00CA6BEB" w:rsidRPr="006220A9" w:rsidRDefault="00CA6BEB" w:rsidP="00CA6BEB">
      <w:pPr>
        <w:jc w:val="both"/>
        <w:rPr>
          <w:rFonts w:ascii="Arial" w:hAnsi="Arial" w:cs="Arial"/>
          <w:bCs/>
          <w:sz w:val="22"/>
          <w:szCs w:val="22"/>
        </w:rPr>
      </w:pPr>
      <w:r w:rsidRPr="006220A9">
        <w:rPr>
          <w:b/>
        </w:rPr>
        <w:t>OCHA</w:t>
      </w:r>
      <w:r w:rsidRPr="006220A9">
        <w:rPr>
          <w:rFonts w:ascii="Arial" w:hAnsi="Arial" w:cs="Arial"/>
          <w:bCs/>
          <w:sz w:val="22"/>
          <w:szCs w:val="22"/>
        </w:rPr>
        <w:t xml:space="preserve">: </w:t>
      </w:r>
      <w:r w:rsidRPr="00E6620A">
        <w:rPr>
          <w:rFonts w:ascii="Arial" w:hAnsi="Arial" w:cs="Arial"/>
          <w:sz w:val="22"/>
          <w:szCs w:val="22"/>
        </w:rPr>
        <w:t>Office for the Coordination of Humanitarian Affairs (United Nations)</w:t>
      </w:r>
    </w:p>
    <w:p w:rsidR="00CA6BEB" w:rsidRPr="006220A9" w:rsidRDefault="00CA6BEB" w:rsidP="00CA6BEB">
      <w:pPr>
        <w:jc w:val="both"/>
        <w:rPr>
          <w:rFonts w:ascii="Arial" w:hAnsi="Arial" w:cs="Arial"/>
          <w:bCs/>
          <w:sz w:val="22"/>
          <w:szCs w:val="22"/>
        </w:rPr>
      </w:pPr>
    </w:p>
    <w:p w:rsidR="00CA6BEB" w:rsidRPr="006220A9" w:rsidRDefault="00CA6BEB" w:rsidP="00CA6BEB">
      <w:pPr>
        <w:spacing w:after="160" w:line="259" w:lineRule="auto"/>
        <w:jc w:val="both"/>
        <w:rPr>
          <w:rFonts w:ascii="Arial" w:hAnsi="Arial" w:cs="Arial"/>
          <w:bCs/>
          <w:sz w:val="22"/>
          <w:szCs w:val="22"/>
        </w:rPr>
      </w:pPr>
      <w:r w:rsidRPr="006220A9">
        <w:rPr>
          <w:b/>
        </w:rPr>
        <w:t>OPT:</w:t>
      </w:r>
      <w:r w:rsidRPr="006220A9">
        <w:rPr>
          <w:rFonts w:ascii="Arial" w:hAnsi="Arial" w:cs="Arial"/>
          <w:bCs/>
          <w:sz w:val="22"/>
          <w:szCs w:val="22"/>
        </w:rPr>
        <w:t xml:space="preserve"> Occupied Palestinian Territory</w:t>
      </w:r>
    </w:p>
    <w:p w:rsidR="00CA6BEB" w:rsidRPr="00E6620A" w:rsidRDefault="00CA6BEB" w:rsidP="00CA6BEB">
      <w:pPr>
        <w:spacing w:after="160" w:line="259" w:lineRule="auto"/>
        <w:jc w:val="both"/>
        <w:rPr>
          <w:rFonts w:ascii="Arial" w:hAnsi="Arial" w:cs="Arial"/>
          <w:sz w:val="22"/>
          <w:szCs w:val="22"/>
        </w:rPr>
      </w:pPr>
      <w:r w:rsidRPr="006220A9">
        <w:rPr>
          <w:b/>
        </w:rPr>
        <w:t>PMA</w:t>
      </w:r>
      <w:r w:rsidRPr="006220A9">
        <w:rPr>
          <w:rFonts w:ascii="Arial" w:hAnsi="Arial" w:cs="Arial"/>
          <w:bCs/>
          <w:sz w:val="22"/>
          <w:szCs w:val="22"/>
        </w:rPr>
        <w:t xml:space="preserve">: </w:t>
      </w:r>
      <w:r w:rsidRPr="00E6620A">
        <w:rPr>
          <w:rFonts w:ascii="Arial" w:hAnsi="Arial" w:cs="Arial"/>
          <w:sz w:val="22"/>
          <w:szCs w:val="22"/>
        </w:rPr>
        <w:t xml:space="preserve">Palestinian Monetary Authority </w:t>
      </w:r>
    </w:p>
    <w:p w:rsidR="00CA6BEB" w:rsidRDefault="00CA6BEB" w:rsidP="00CA6BEB">
      <w:pPr>
        <w:spacing w:after="160" w:line="259" w:lineRule="auto"/>
        <w:jc w:val="both"/>
        <w:rPr>
          <w:rStyle w:val="SubtleEmphasis"/>
          <w:rFonts w:ascii="Arial" w:hAnsi="Arial" w:cs="Arial"/>
          <w:i w:val="0"/>
          <w:color w:val="000000" w:themeColor="text1"/>
          <w:sz w:val="22"/>
          <w:szCs w:val="22"/>
        </w:rPr>
      </w:pPr>
      <w:r w:rsidRPr="006220A9">
        <w:rPr>
          <w:b/>
        </w:rPr>
        <w:t>SIDI</w:t>
      </w:r>
      <w:r w:rsidRPr="00E6620A">
        <w:rPr>
          <w:rFonts w:ascii="Arial" w:hAnsi="Arial" w:cs="Arial"/>
          <w:sz w:val="22"/>
          <w:szCs w:val="22"/>
        </w:rPr>
        <w:t xml:space="preserve">: </w:t>
      </w:r>
      <w:r w:rsidRPr="00E6620A">
        <w:rPr>
          <w:rStyle w:val="SubtleEmphasis"/>
          <w:rFonts w:ascii="Arial" w:hAnsi="Arial" w:cs="Arial"/>
          <w:color w:val="000000" w:themeColor="text1"/>
          <w:sz w:val="22"/>
          <w:szCs w:val="22"/>
        </w:rPr>
        <w:t>International Solidarity for Development and Investment</w:t>
      </w:r>
    </w:p>
    <w:p w:rsidR="00CA6BEB" w:rsidRDefault="00CA6BEB" w:rsidP="00CA6BEB">
      <w:pPr>
        <w:spacing w:after="160" w:line="259" w:lineRule="auto"/>
        <w:jc w:val="both"/>
        <w:rPr>
          <w:rStyle w:val="SubtleEmphasis"/>
          <w:rFonts w:ascii="Arial" w:hAnsi="Arial" w:cs="Arial"/>
          <w:i w:val="0"/>
          <w:color w:val="000000" w:themeColor="text1"/>
          <w:sz w:val="22"/>
          <w:szCs w:val="22"/>
        </w:rPr>
      </w:pPr>
      <w:r w:rsidRPr="00D6348C">
        <w:rPr>
          <w:rStyle w:val="SubtleEmphasis"/>
          <w:rFonts w:ascii="Arial" w:hAnsi="Arial" w:cs="Arial"/>
          <w:b/>
          <w:bCs/>
          <w:color w:val="000000" w:themeColor="text1"/>
          <w:sz w:val="22"/>
          <w:szCs w:val="22"/>
        </w:rPr>
        <w:t>EPCGF</w:t>
      </w:r>
      <w:r>
        <w:rPr>
          <w:rStyle w:val="SubtleEmphasis"/>
          <w:rFonts w:ascii="Arial" w:hAnsi="Arial" w:cs="Arial"/>
          <w:color w:val="000000" w:themeColor="text1"/>
          <w:sz w:val="22"/>
          <w:szCs w:val="22"/>
        </w:rPr>
        <w:t xml:space="preserve">: European Palestinian Credit Guarantee Fund </w:t>
      </w:r>
    </w:p>
    <w:p w:rsidR="00CA6BEB" w:rsidRDefault="00CA6BEB" w:rsidP="00CA6BEB">
      <w:pPr>
        <w:spacing w:after="160" w:line="259" w:lineRule="auto"/>
        <w:jc w:val="both"/>
        <w:rPr>
          <w:rStyle w:val="SubtleEmphasis"/>
          <w:rFonts w:ascii="Arial" w:hAnsi="Arial" w:cs="Arial"/>
          <w:color w:val="000000" w:themeColor="text1"/>
          <w:sz w:val="22"/>
          <w:szCs w:val="22"/>
        </w:rPr>
      </w:pPr>
      <w:r w:rsidRPr="00FE548A">
        <w:rPr>
          <w:rStyle w:val="SubtleEmphasis"/>
          <w:rFonts w:ascii="Arial" w:hAnsi="Arial" w:cs="Arial"/>
          <w:b/>
          <w:bCs/>
          <w:color w:val="000000" w:themeColor="text1"/>
          <w:sz w:val="22"/>
          <w:szCs w:val="22"/>
        </w:rPr>
        <w:t>REEF</w:t>
      </w:r>
      <w:r>
        <w:rPr>
          <w:rStyle w:val="SubtleEmphasis"/>
          <w:rFonts w:ascii="Arial" w:hAnsi="Arial" w:cs="Arial"/>
          <w:color w:val="000000" w:themeColor="text1"/>
          <w:sz w:val="22"/>
          <w:szCs w:val="22"/>
        </w:rPr>
        <w:t xml:space="preserve"> Finance: REEF for microfinance </w:t>
      </w:r>
    </w:p>
    <w:p w:rsidR="00CA6BEB" w:rsidRDefault="00CA6BEB" w:rsidP="00CA6BEB">
      <w:pPr>
        <w:spacing w:after="160" w:line="259" w:lineRule="auto"/>
        <w:jc w:val="both"/>
        <w:rPr>
          <w:rStyle w:val="SubtleEmphasis"/>
          <w:rFonts w:ascii="Arial" w:hAnsi="Arial" w:cs="Arial"/>
          <w:color w:val="000000" w:themeColor="text1"/>
          <w:sz w:val="22"/>
          <w:szCs w:val="22"/>
        </w:rPr>
      </w:pPr>
      <w:r w:rsidRPr="00CA6BEB">
        <w:rPr>
          <w:rStyle w:val="SubtleEmphasis"/>
          <w:rFonts w:ascii="Arial" w:hAnsi="Arial" w:cs="Arial"/>
          <w:b/>
          <w:bCs/>
          <w:color w:val="000000" w:themeColor="text1"/>
          <w:sz w:val="22"/>
          <w:szCs w:val="22"/>
        </w:rPr>
        <w:t>SHARAKA</w:t>
      </w:r>
      <w:r>
        <w:rPr>
          <w:rStyle w:val="SubtleEmphasis"/>
          <w:rFonts w:ascii="Arial" w:hAnsi="Arial" w:cs="Arial"/>
          <w:color w:val="000000" w:themeColor="text1"/>
          <w:sz w:val="22"/>
          <w:szCs w:val="22"/>
        </w:rPr>
        <w:t xml:space="preserve">: Micro finance institution network </w:t>
      </w:r>
    </w:p>
    <w:p w:rsidR="00CA6BEB" w:rsidRDefault="00CA6BEB" w:rsidP="00CA6BEB">
      <w:pPr>
        <w:spacing w:after="160" w:line="259" w:lineRule="auto"/>
        <w:jc w:val="both"/>
        <w:rPr>
          <w:rStyle w:val="SubtleEmphasis"/>
          <w:rFonts w:ascii="Arial" w:hAnsi="Arial" w:cs="Arial"/>
          <w:color w:val="000000" w:themeColor="text1"/>
          <w:sz w:val="22"/>
          <w:szCs w:val="22"/>
        </w:rPr>
      </w:pPr>
      <w:r w:rsidRPr="00CA6BEB">
        <w:rPr>
          <w:rStyle w:val="SubtleEmphasis"/>
          <w:rFonts w:ascii="Arial" w:hAnsi="Arial" w:cs="Arial"/>
          <w:b/>
          <w:bCs/>
          <w:color w:val="000000" w:themeColor="text1"/>
          <w:sz w:val="22"/>
          <w:szCs w:val="22"/>
        </w:rPr>
        <w:t>MEI</w:t>
      </w:r>
      <w:r>
        <w:rPr>
          <w:rStyle w:val="SubtleEmphasis"/>
          <w:rFonts w:ascii="Arial" w:hAnsi="Arial" w:cs="Arial"/>
          <w:color w:val="000000" w:themeColor="text1"/>
          <w:sz w:val="22"/>
          <w:szCs w:val="22"/>
        </w:rPr>
        <w:t xml:space="preserve">: Middle East Initiative </w:t>
      </w:r>
    </w:p>
    <w:p w:rsidR="00CA6BEB" w:rsidRDefault="00CA6BEB" w:rsidP="00D34DBF">
      <w:pPr>
        <w:spacing w:after="160" w:line="259" w:lineRule="auto"/>
        <w:jc w:val="both"/>
        <w:rPr>
          <w:rStyle w:val="SubtleEmphasis"/>
          <w:rFonts w:ascii="Arial" w:hAnsi="Arial" w:cs="Arial"/>
          <w:color w:val="000000" w:themeColor="text1"/>
          <w:sz w:val="22"/>
          <w:szCs w:val="22"/>
        </w:rPr>
      </w:pPr>
      <w:r w:rsidRPr="00CA6BEB">
        <w:rPr>
          <w:rStyle w:val="SubtleEmphasis"/>
          <w:rFonts w:ascii="Arial" w:hAnsi="Arial" w:cs="Arial"/>
          <w:b/>
          <w:bCs/>
          <w:color w:val="000000" w:themeColor="text1"/>
          <w:sz w:val="22"/>
          <w:szCs w:val="22"/>
        </w:rPr>
        <w:t>PMA</w:t>
      </w:r>
      <w:r>
        <w:rPr>
          <w:rStyle w:val="SubtleEmphasis"/>
          <w:rFonts w:ascii="Arial" w:hAnsi="Arial" w:cs="Arial"/>
          <w:color w:val="000000" w:themeColor="text1"/>
          <w:sz w:val="22"/>
          <w:szCs w:val="22"/>
        </w:rPr>
        <w:t xml:space="preserve">: Palestinian </w:t>
      </w:r>
      <w:r w:rsidR="00D34DBF">
        <w:rPr>
          <w:rStyle w:val="SubtleEmphasis"/>
          <w:rFonts w:ascii="Arial" w:hAnsi="Arial" w:cs="Arial"/>
          <w:color w:val="000000" w:themeColor="text1"/>
          <w:sz w:val="22"/>
          <w:szCs w:val="22"/>
        </w:rPr>
        <w:t>Monitoring Authority</w:t>
      </w:r>
      <w:r>
        <w:rPr>
          <w:rStyle w:val="SubtleEmphasis"/>
          <w:rFonts w:ascii="Arial" w:hAnsi="Arial" w:cs="Arial"/>
          <w:color w:val="000000" w:themeColor="text1"/>
          <w:sz w:val="22"/>
          <w:szCs w:val="22"/>
        </w:rPr>
        <w:t xml:space="preserve"> </w:t>
      </w:r>
    </w:p>
    <w:p w:rsidR="00CA6BEB" w:rsidRPr="006220A9" w:rsidRDefault="00CA6BEB" w:rsidP="00CA6BEB">
      <w:pPr>
        <w:spacing w:after="160" w:line="259" w:lineRule="auto"/>
        <w:jc w:val="both"/>
        <w:rPr>
          <w:rFonts w:ascii="Arial" w:hAnsi="Arial" w:cs="Arial"/>
          <w:sz w:val="22"/>
          <w:szCs w:val="22"/>
        </w:rPr>
      </w:pPr>
      <w:r w:rsidRPr="00CA6BEB">
        <w:rPr>
          <w:rStyle w:val="SubtleEmphasis"/>
          <w:rFonts w:ascii="Arial" w:hAnsi="Arial" w:cs="Arial"/>
          <w:b/>
          <w:bCs/>
          <w:color w:val="000000" w:themeColor="text1"/>
          <w:sz w:val="22"/>
          <w:szCs w:val="22"/>
        </w:rPr>
        <w:t>COVID19</w:t>
      </w:r>
      <w:r>
        <w:rPr>
          <w:rStyle w:val="SubtleEmphasis"/>
          <w:rFonts w:ascii="Arial" w:hAnsi="Arial" w:cs="Arial"/>
          <w:color w:val="000000" w:themeColor="text1"/>
          <w:sz w:val="22"/>
          <w:szCs w:val="22"/>
        </w:rPr>
        <w:t xml:space="preserve">: Corona Virus era </w:t>
      </w:r>
      <w:r w:rsidRPr="006220A9">
        <w:rPr>
          <w:rFonts w:ascii="Arial" w:hAnsi="Arial" w:cs="Arial"/>
          <w:bCs/>
          <w:sz w:val="22"/>
          <w:szCs w:val="22"/>
        </w:rPr>
        <w:br w:type="page"/>
      </w:r>
    </w:p>
    <w:p w:rsidR="00CA6BEB" w:rsidRDefault="00CA6BEB" w:rsidP="00CA6BEB">
      <w:pPr>
        <w:jc w:val="both"/>
        <w:rPr>
          <w:rFonts w:ascii="Arial" w:hAnsi="Arial" w:cs="Arial"/>
          <w:b/>
          <w:bCs/>
          <w:sz w:val="22"/>
          <w:szCs w:val="22"/>
          <w:u w:val="single"/>
        </w:rPr>
      </w:pPr>
    </w:p>
    <w:p w:rsidR="00CA6BEB" w:rsidRDefault="00CA6BEB" w:rsidP="00CA6BEB">
      <w:pPr>
        <w:jc w:val="both"/>
        <w:rPr>
          <w:rFonts w:ascii="Arial" w:hAnsi="Arial" w:cs="Arial"/>
          <w:b/>
          <w:bCs/>
          <w:sz w:val="22"/>
          <w:szCs w:val="22"/>
          <w:u w:val="single"/>
        </w:rPr>
      </w:pPr>
    </w:p>
    <w:p w:rsidR="00CA6BEB" w:rsidRDefault="00CA6BEB" w:rsidP="00CA6BEB">
      <w:pPr>
        <w:jc w:val="both"/>
        <w:rPr>
          <w:rFonts w:ascii="Arial" w:hAnsi="Arial" w:cs="Arial"/>
          <w:b/>
          <w:bCs/>
          <w:sz w:val="22"/>
          <w:szCs w:val="22"/>
          <w:u w:val="single"/>
        </w:rPr>
      </w:pPr>
    </w:p>
    <w:p w:rsidR="00CA6BEB" w:rsidRDefault="00CA6BEB" w:rsidP="00CA6BEB">
      <w:pPr>
        <w:jc w:val="both"/>
        <w:rPr>
          <w:rFonts w:ascii="Arial" w:hAnsi="Arial" w:cs="Arial"/>
          <w:b/>
          <w:bCs/>
          <w:sz w:val="22"/>
          <w:szCs w:val="22"/>
          <w:u w:val="single"/>
        </w:rPr>
      </w:pPr>
    </w:p>
    <w:p w:rsidR="00CA6BEB" w:rsidRPr="006220A9" w:rsidRDefault="00CA6BEB" w:rsidP="00CA6BEB">
      <w:pPr>
        <w:jc w:val="both"/>
        <w:rPr>
          <w:rFonts w:ascii="Arial" w:hAnsi="Arial" w:cs="Arial"/>
          <w:b/>
          <w:bCs/>
          <w:sz w:val="28"/>
          <w:szCs w:val="28"/>
        </w:rPr>
      </w:pPr>
      <w:r w:rsidRPr="006220A9">
        <w:rPr>
          <w:rFonts w:ascii="Arial" w:hAnsi="Arial" w:cs="Arial"/>
          <w:b/>
          <w:bCs/>
          <w:sz w:val="28"/>
          <w:szCs w:val="28"/>
        </w:rPr>
        <w:t>Contents:</w:t>
      </w:r>
    </w:p>
    <w:p w:rsidR="00CA6BEB" w:rsidRDefault="00CA6BEB" w:rsidP="00CA6BEB">
      <w:pPr>
        <w:jc w:val="both"/>
        <w:rPr>
          <w:rFonts w:ascii="Arial" w:hAnsi="Arial" w:cs="Arial"/>
          <w:b/>
          <w:bCs/>
          <w:sz w:val="22"/>
          <w:szCs w:val="22"/>
          <w:u w:val="single"/>
        </w:rPr>
      </w:pPr>
    </w:p>
    <w:p w:rsidR="00CA6BEB" w:rsidRDefault="00CA6BEB" w:rsidP="00CA6BEB">
      <w:pPr>
        <w:jc w:val="both"/>
        <w:rPr>
          <w:rFonts w:ascii="Arial" w:hAnsi="Arial" w:cs="Arial"/>
          <w:b/>
          <w:bCs/>
          <w:sz w:val="22"/>
          <w:szCs w:val="22"/>
          <w:u w:val="single"/>
        </w:rPr>
      </w:pPr>
    </w:p>
    <w:p w:rsidR="00CA6BEB" w:rsidRPr="00407089" w:rsidRDefault="00CA6BEB" w:rsidP="00CA6BEB">
      <w:pPr>
        <w:jc w:val="both"/>
        <w:rPr>
          <w:rFonts w:ascii="Arial" w:hAnsi="Arial" w:cs="Arial"/>
          <w:b/>
          <w:bCs/>
          <w:sz w:val="22"/>
          <w:szCs w:val="22"/>
          <w:u w:val="single"/>
        </w:rPr>
      </w:pPr>
    </w:p>
    <w:p w:rsidR="00CA6BEB" w:rsidRDefault="00CA6BEB" w:rsidP="00CA6BEB">
      <w:pPr>
        <w:pStyle w:val="TOC1"/>
        <w:rPr>
          <w:b w:val="0"/>
          <w:noProof/>
        </w:rPr>
      </w:pPr>
      <w:r w:rsidRPr="006220A9">
        <w:rPr>
          <w:b w:val="0"/>
          <w:bCs/>
          <w:u w:val="single"/>
        </w:rPr>
        <w:fldChar w:fldCharType="begin"/>
      </w:r>
      <w:r w:rsidRPr="006220A9">
        <w:rPr>
          <w:b w:val="0"/>
          <w:bCs/>
          <w:u w:val="single"/>
        </w:rPr>
        <w:instrText xml:space="preserve"> TOC \o "1-3" </w:instrText>
      </w:r>
      <w:r w:rsidRPr="006220A9">
        <w:rPr>
          <w:b w:val="0"/>
          <w:bCs/>
          <w:u w:val="single"/>
        </w:rPr>
        <w:fldChar w:fldCharType="separate"/>
      </w:r>
      <w:r w:rsidRPr="006220A9">
        <w:rPr>
          <w:rFonts w:ascii="Arial" w:hAnsi="Arial" w:cs="Arial"/>
          <w:b w:val="0"/>
          <w:noProof/>
        </w:rPr>
        <w:t>Introduction: a context that create specific need for vulnerable population</w:t>
      </w:r>
      <w:r w:rsidRPr="006220A9">
        <w:rPr>
          <w:b w:val="0"/>
          <w:noProof/>
        </w:rPr>
        <w:tab/>
      </w:r>
      <w:r w:rsidRPr="006220A9">
        <w:rPr>
          <w:b w:val="0"/>
          <w:noProof/>
        </w:rPr>
        <w:fldChar w:fldCharType="begin"/>
      </w:r>
      <w:r w:rsidRPr="006220A9">
        <w:rPr>
          <w:b w:val="0"/>
          <w:noProof/>
        </w:rPr>
        <w:instrText xml:space="preserve"> PAGEREF _Toc414271813 \h </w:instrText>
      </w:r>
      <w:r w:rsidRPr="006220A9">
        <w:rPr>
          <w:b w:val="0"/>
          <w:noProof/>
        </w:rPr>
      </w:r>
      <w:r w:rsidRPr="006220A9">
        <w:rPr>
          <w:b w:val="0"/>
          <w:noProof/>
        </w:rPr>
        <w:fldChar w:fldCharType="separate"/>
      </w:r>
      <w:r w:rsidRPr="006220A9">
        <w:rPr>
          <w:b w:val="0"/>
          <w:noProof/>
        </w:rPr>
        <w:t>4</w:t>
      </w:r>
      <w:r w:rsidRPr="006220A9">
        <w:rPr>
          <w:b w:val="0"/>
          <w:noProof/>
        </w:rPr>
        <w:fldChar w:fldCharType="end"/>
      </w:r>
    </w:p>
    <w:p w:rsidR="00CA6BEB" w:rsidRPr="006220A9" w:rsidRDefault="00CA6BEB" w:rsidP="00CA6BEB">
      <w:pPr>
        <w:rPr>
          <w:b/>
        </w:rPr>
      </w:pPr>
    </w:p>
    <w:p w:rsidR="00CA6BEB" w:rsidRPr="008804A6" w:rsidRDefault="00CA6BEB" w:rsidP="00CA6BEB">
      <w:pPr>
        <w:pStyle w:val="TOC1"/>
        <w:rPr>
          <w:rFonts w:eastAsiaTheme="minorEastAsia" w:cstheme="minorBidi"/>
          <w:b w:val="0"/>
          <w:noProof/>
          <w:lang w:eastAsia="ja-JP"/>
        </w:rPr>
      </w:pPr>
      <w:r w:rsidRPr="006220A9">
        <w:rPr>
          <w:rFonts w:ascii="Arial" w:hAnsi="Arial" w:cs="Arial"/>
          <w:b w:val="0"/>
          <w:noProof/>
        </w:rPr>
        <w:t>1. Presentation of DAMMAN for SME’s</w:t>
      </w:r>
      <w:r w:rsidRPr="006220A9">
        <w:rPr>
          <w:b w:val="0"/>
          <w:noProof/>
        </w:rPr>
        <w:tab/>
      </w:r>
      <w:r w:rsidRPr="006220A9">
        <w:rPr>
          <w:b w:val="0"/>
          <w:noProof/>
        </w:rPr>
        <w:fldChar w:fldCharType="begin"/>
      </w:r>
      <w:r w:rsidRPr="006220A9">
        <w:rPr>
          <w:b w:val="0"/>
          <w:noProof/>
        </w:rPr>
        <w:instrText xml:space="preserve"> PAGEREF _Toc414271814 \h </w:instrText>
      </w:r>
      <w:r w:rsidRPr="006220A9">
        <w:rPr>
          <w:b w:val="0"/>
          <w:noProof/>
        </w:rPr>
      </w:r>
      <w:r w:rsidRPr="006220A9">
        <w:rPr>
          <w:b w:val="0"/>
          <w:noProof/>
        </w:rPr>
        <w:fldChar w:fldCharType="separate"/>
      </w:r>
      <w:r w:rsidRPr="006220A9">
        <w:rPr>
          <w:b w:val="0"/>
          <w:noProof/>
        </w:rPr>
        <w:t>5</w:t>
      </w:r>
      <w:r w:rsidRPr="006220A9">
        <w:rPr>
          <w:b w:val="0"/>
          <w:noProof/>
        </w:rPr>
        <w:fldChar w:fldCharType="end"/>
      </w:r>
    </w:p>
    <w:p w:rsidR="00CA6BEB" w:rsidRPr="006220A9" w:rsidRDefault="00CA6BEB" w:rsidP="00CA6BEB">
      <w:pPr>
        <w:pStyle w:val="TOC2"/>
        <w:tabs>
          <w:tab w:val="left" w:pos="792"/>
          <w:tab w:val="right" w:leader="dot" w:pos="9350"/>
        </w:tabs>
        <w:rPr>
          <w:b w:val="0"/>
          <w:noProof/>
          <w:color w:val="2E74B5" w:themeColor="accent1" w:themeShade="BF"/>
        </w:rPr>
      </w:pPr>
    </w:p>
    <w:p w:rsidR="00CA6BEB" w:rsidRPr="008804A6" w:rsidRDefault="00CA6BEB" w:rsidP="00CA6BEB">
      <w:pPr>
        <w:pStyle w:val="TOC2"/>
        <w:tabs>
          <w:tab w:val="left" w:pos="792"/>
          <w:tab w:val="right" w:leader="dot" w:pos="9350"/>
        </w:tabs>
        <w:rPr>
          <w:rFonts w:eastAsiaTheme="minorEastAsia" w:cstheme="minorBidi"/>
          <w:b w:val="0"/>
          <w:noProof/>
          <w:sz w:val="24"/>
          <w:szCs w:val="24"/>
          <w:lang w:eastAsia="ja-JP"/>
        </w:rPr>
      </w:pPr>
      <w:r w:rsidRPr="006220A9">
        <w:rPr>
          <w:b w:val="0"/>
          <w:noProof/>
          <w:color w:val="2E74B5" w:themeColor="accent1" w:themeShade="BF"/>
        </w:rPr>
        <w:t>1.1</w:t>
      </w:r>
      <w:r w:rsidRPr="008804A6">
        <w:rPr>
          <w:rFonts w:eastAsiaTheme="minorEastAsia" w:cstheme="minorBidi"/>
          <w:b w:val="0"/>
          <w:noProof/>
          <w:sz w:val="24"/>
          <w:szCs w:val="24"/>
          <w:lang w:eastAsia="ja-JP"/>
        </w:rPr>
        <w:tab/>
      </w:r>
      <w:r w:rsidRPr="006220A9">
        <w:rPr>
          <w:b w:val="0"/>
          <w:noProof/>
          <w:color w:val="2E74B5" w:themeColor="accent1" w:themeShade="BF"/>
        </w:rPr>
        <w:t>Status and partnerships</w:t>
      </w:r>
      <w:r w:rsidRPr="006220A9">
        <w:rPr>
          <w:b w:val="0"/>
          <w:noProof/>
        </w:rPr>
        <w:tab/>
      </w:r>
      <w:r w:rsidRPr="006220A9">
        <w:rPr>
          <w:b w:val="0"/>
          <w:noProof/>
        </w:rPr>
        <w:fldChar w:fldCharType="begin"/>
      </w:r>
      <w:r w:rsidRPr="006220A9">
        <w:rPr>
          <w:b w:val="0"/>
          <w:noProof/>
        </w:rPr>
        <w:instrText xml:space="preserve"> PAGEREF _Toc414271815 \h </w:instrText>
      </w:r>
      <w:r w:rsidRPr="006220A9">
        <w:rPr>
          <w:b w:val="0"/>
          <w:noProof/>
        </w:rPr>
      </w:r>
      <w:r w:rsidRPr="006220A9">
        <w:rPr>
          <w:b w:val="0"/>
          <w:noProof/>
        </w:rPr>
        <w:fldChar w:fldCharType="separate"/>
      </w:r>
      <w:r w:rsidRPr="006220A9">
        <w:rPr>
          <w:b w:val="0"/>
          <w:noProof/>
        </w:rPr>
        <w:t>5</w:t>
      </w:r>
      <w:r w:rsidRPr="006220A9">
        <w:rPr>
          <w:b w:val="0"/>
          <w:noProof/>
        </w:rPr>
        <w:fldChar w:fldCharType="end"/>
      </w:r>
    </w:p>
    <w:p w:rsidR="00CA6BEB" w:rsidRPr="008804A6" w:rsidRDefault="00CA6BEB" w:rsidP="00CA6BEB">
      <w:pPr>
        <w:pStyle w:val="TOC2"/>
        <w:tabs>
          <w:tab w:val="left" w:pos="792"/>
          <w:tab w:val="right" w:leader="dot" w:pos="9350"/>
        </w:tabs>
        <w:rPr>
          <w:rFonts w:eastAsiaTheme="minorEastAsia" w:cstheme="minorBidi"/>
          <w:b w:val="0"/>
          <w:noProof/>
          <w:sz w:val="24"/>
          <w:szCs w:val="24"/>
          <w:lang w:eastAsia="ja-JP"/>
        </w:rPr>
      </w:pPr>
      <w:r w:rsidRPr="006220A9">
        <w:rPr>
          <w:b w:val="0"/>
          <w:noProof/>
          <w:color w:val="2E74B5" w:themeColor="accent1" w:themeShade="BF"/>
        </w:rPr>
        <w:t>1.2</w:t>
      </w:r>
      <w:r w:rsidRPr="008804A6">
        <w:rPr>
          <w:rFonts w:eastAsiaTheme="minorEastAsia" w:cstheme="minorBidi"/>
          <w:b w:val="0"/>
          <w:noProof/>
          <w:sz w:val="24"/>
          <w:szCs w:val="24"/>
          <w:lang w:eastAsia="ja-JP"/>
        </w:rPr>
        <w:tab/>
      </w:r>
      <w:r w:rsidRPr="006220A9">
        <w:rPr>
          <w:b w:val="0"/>
          <w:noProof/>
          <w:color w:val="2E74B5" w:themeColor="accent1" w:themeShade="BF"/>
        </w:rPr>
        <w:t>Vision and mission</w:t>
      </w:r>
      <w:r w:rsidRPr="006220A9">
        <w:rPr>
          <w:b w:val="0"/>
          <w:noProof/>
        </w:rPr>
        <w:tab/>
      </w:r>
      <w:r w:rsidRPr="006220A9">
        <w:rPr>
          <w:b w:val="0"/>
          <w:noProof/>
        </w:rPr>
        <w:fldChar w:fldCharType="begin"/>
      </w:r>
      <w:r w:rsidRPr="006220A9">
        <w:rPr>
          <w:b w:val="0"/>
          <w:noProof/>
        </w:rPr>
        <w:instrText xml:space="preserve"> PAGEREF _Toc414271816 \h </w:instrText>
      </w:r>
      <w:r w:rsidRPr="006220A9">
        <w:rPr>
          <w:b w:val="0"/>
          <w:noProof/>
        </w:rPr>
      </w:r>
      <w:r w:rsidRPr="006220A9">
        <w:rPr>
          <w:b w:val="0"/>
          <w:noProof/>
        </w:rPr>
        <w:fldChar w:fldCharType="separate"/>
      </w:r>
      <w:r w:rsidRPr="006220A9">
        <w:rPr>
          <w:b w:val="0"/>
          <w:noProof/>
        </w:rPr>
        <w:t>5</w:t>
      </w:r>
      <w:r w:rsidRPr="006220A9">
        <w:rPr>
          <w:b w:val="0"/>
          <w:noProof/>
        </w:rPr>
        <w:fldChar w:fldCharType="end"/>
      </w:r>
    </w:p>
    <w:p w:rsidR="00CA6BEB" w:rsidRPr="008804A6" w:rsidRDefault="00CA6BEB" w:rsidP="00CA6BEB">
      <w:pPr>
        <w:pStyle w:val="TOC2"/>
        <w:tabs>
          <w:tab w:val="left" w:pos="792"/>
          <w:tab w:val="right" w:leader="dot" w:pos="9350"/>
        </w:tabs>
        <w:rPr>
          <w:rFonts w:eastAsiaTheme="minorEastAsia" w:cstheme="minorBidi"/>
          <w:b w:val="0"/>
          <w:noProof/>
          <w:sz w:val="24"/>
          <w:szCs w:val="24"/>
          <w:lang w:eastAsia="ja-JP"/>
        </w:rPr>
      </w:pPr>
      <w:r w:rsidRPr="006220A9">
        <w:rPr>
          <w:b w:val="0"/>
          <w:noProof/>
          <w:color w:val="2E74B5" w:themeColor="accent1" w:themeShade="BF"/>
        </w:rPr>
        <w:t>1.3</w:t>
      </w:r>
      <w:r w:rsidRPr="008804A6">
        <w:rPr>
          <w:rFonts w:eastAsiaTheme="minorEastAsia" w:cstheme="minorBidi"/>
          <w:b w:val="0"/>
          <w:noProof/>
          <w:sz w:val="24"/>
          <w:szCs w:val="24"/>
          <w:lang w:eastAsia="ja-JP"/>
        </w:rPr>
        <w:tab/>
      </w:r>
      <w:r w:rsidRPr="006220A9">
        <w:rPr>
          <w:b w:val="0"/>
          <w:noProof/>
          <w:color w:val="2E74B5" w:themeColor="accent1" w:themeShade="BF"/>
        </w:rPr>
        <w:t>Objectives and expected results</w:t>
      </w:r>
      <w:r w:rsidRPr="006220A9">
        <w:rPr>
          <w:b w:val="0"/>
          <w:noProof/>
        </w:rPr>
        <w:tab/>
      </w:r>
      <w:r w:rsidRPr="006220A9">
        <w:rPr>
          <w:b w:val="0"/>
          <w:noProof/>
        </w:rPr>
        <w:fldChar w:fldCharType="begin"/>
      </w:r>
      <w:r w:rsidRPr="006220A9">
        <w:rPr>
          <w:b w:val="0"/>
          <w:noProof/>
        </w:rPr>
        <w:instrText xml:space="preserve"> PAGEREF _Toc414271817 \h </w:instrText>
      </w:r>
      <w:r w:rsidRPr="006220A9">
        <w:rPr>
          <w:b w:val="0"/>
          <w:noProof/>
        </w:rPr>
      </w:r>
      <w:r w:rsidRPr="006220A9">
        <w:rPr>
          <w:b w:val="0"/>
          <w:noProof/>
        </w:rPr>
        <w:fldChar w:fldCharType="separate"/>
      </w:r>
      <w:r w:rsidRPr="006220A9">
        <w:rPr>
          <w:b w:val="0"/>
          <w:noProof/>
        </w:rPr>
        <w:t>5</w:t>
      </w:r>
      <w:r w:rsidRPr="006220A9">
        <w:rPr>
          <w:b w:val="0"/>
          <w:noProof/>
        </w:rPr>
        <w:fldChar w:fldCharType="end"/>
      </w:r>
    </w:p>
    <w:p w:rsidR="00CA6BEB" w:rsidRDefault="00CA6BEB" w:rsidP="00CA6BEB">
      <w:pPr>
        <w:pStyle w:val="TOC2"/>
        <w:tabs>
          <w:tab w:val="left" w:pos="792"/>
          <w:tab w:val="right" w:leader="dot" w:pos="9350"/>
        </w:tabs>
        <w:rPr>
          <w:b w:val="0"/>
          <w:noProof/>
        </w:rPr>
      </w:pPr>
      <w:r w:rsidRPr="006220A9">
        <w:rPr>
          <w:b w:val="0"/>
          <w:noProof/>
          <w:color w:val="2E74B5" w:themeColor="accent1" w:themeShade="BF"/>
        </w:rPr>
        <w:t>1.4</w:t>
      </w:r>
      <w:r w:rsidRPr="008804A6">
        <w:rPr>
          <w:rFonts w:eastAsiaTheme="minorEastAsia" w:cstheme="minorBidi"/>
          <w:b w:val="0"/>
          <w:noProof/>
          <w:sz w:val="24"/>
          <w:szCs w:val="24"/>
          <w:lang w:eastAsia="ja-JP"/>
        </w:rPr>
        <w:tab/>
      </w:r>
      <w:r w:rsidRPr="006220A9">
        <w:rPr>
          <w:b w:val="0"/>
          <w:noProof/>
          <w:color w:val="2E74B5" w:themeColor="accent1" w:themeShade="BF"/>
        </w:rPr>
        <w:t>Direct &amp; indirect beneficiaries</w:t>
      </w:r>
      <w:r w:rsidRPr="006220A9">
        <w:rPr>
          <w:b w:val="0"/>
          <w:noProof/>
        </w:rPr>
        <w:tab/>
      </w:r>
      <w:r w:rsidRPr="006220A9">
        <w:rPr>
          <w:b w:val="0"/>
          <w:noProof/>
        </w:rPr>
        <w:fldChar w:fldCharType="begin"/>
      </w:r>
      <w:r w:rsidRPr="006220A9">
        <w:rPr>
          <w:b w:val="0"/>
          <w:noProof/>
        </w:rPr>
        <w:instrText xml:space="preserve"> PAGEREF _Toc414271818 \h </w:instrText>
      </w:r>
      <w:r w:rsidRPr="006220A9">
        <w:rPr>
          <w:b w:val="0"/>
          <w:noProof/>
        </w:rPr>
      </w:r>
      <w:r w:rsidRPr="006220A9">
        <w:rPr>
          <w:b w:val="0"/>
          <w:noProof/>
        </w:rPr>
        <w:fldChar w:fldCharType="separate"/>
      </w:r>
      <w:r w:rsidRPr="006220A9">
        <w:rPr>
          <w:b w:val="0"/>
          <w:noProof/>
        </w:rPr>
        <w:t>6</w:t>
      </w:r>
      <w:r w:rsidRPr="006220A9">
        <w:rPr>
          <w:b w:val="0"/>
          <w:noProof/>
        </w:rPr>
        <w:fldChar w:fldCharType="end"/>
      </w:r>
    </w:p>
    <w:p w:rsidR="00CA6BEB" w:rsidRPr="006220A9" w:rsidRDefault="00CA6BEB" w:rsidP="00CA6BEB">
      <w:pPr>
        <w:rPr>
          <w:b/>
        </w:rPr>
      </w:pPr>
    </w:p>
    <w:p w:rsidR="00CA6BEB" w:rsidRPr="008804A6" w:rsidRDefault="00CA6BEB" w:rsidP="00CA6BEB">
      <w:pPr>
        <w:pStyle w:val="TOC1"/>
        <w:rPr>
          <w:rFonts w:eastAsiaTheme="minorEastAsia" w:cstheme="minorBidi"/>
          <w:b w:val="0"/>
          <w:noProof/>
          <w:lang w:eastAsia="ja-JP"/>
        </w:rPr>
      </w:pPr>
      <w:r w:rsidRPr="006220A9">
        <w:rPr>
          <w:rFonts w:ascii="Arial" w:hAnsi="Arial" w:cs="Arial"/>
          <w:b w:val="0"/>
          <w:noProof/>
        </w:rPr>
        <w:t>2. Challenges and perspectives</w:t>
      </w:r>
      <w:r w:rsidRPr="006220A9">
        <w:rPr>
          <w:b w:val="0"/>
          <w:noProof/>
        </w:rPr>
        <w:tab/>
      </w:r>
      <w:r w:rsidRPr="006220A9">
        <w:rPr>
          <w:b w:val="0"/>
          <w:noProof/>
        </w:rPr>
        <w:fldChar w:fldCharType="begin"/>
      </w:r>
      <w:r w:rsidRPr="006220A9">
        <w:rPr>
          <w:b w:val="0"/>
          <w:noProof/>
        </w:rPr>
        <w:instrText xml:space="preserve"> PAGEREF _Toc414271819 \h </w:instrText>
      </w:r>
      <w:r w:rsidRPr="006220A9">
        <w:rPr>
          <w:b w:val="0"/>
          <w:noProof/>
        </w:rPr>
      </w:r>
      <w:r w:rsidRPr="006220A9">
        <w:rPr>
          <w:b w:val="0"/>
          <w:noProof/>
        </w:rPr>
        <w:fldChar w:fldCharType="separate"/>
      </w:r>
      <w:r w:rsidRPr="006220A9">
        <w:rPr>
          <w:b w:val="0"/>
          <w:noProof/>
        </w:rPr>
        <w:t>6</w:t>
      </w:r>
      <w:r w:rsidRPr="006220A9">
        <w:rPr>
          <w:b w:val="0"/>
          <w:noProof/>
        </w:rPr>
        <w:fldChar w:fldCharType="end"/>
      </w:r>
    </w:p>
    <w:p w:rsidR="00CA6BEB" w:rsidRPr="006220A9" w:rsidRDefault="00CA6BEB" w:rsidP="00CA6BEB">
      <w:pPr>
        <w:pStyle w:val="TOC2"/>
        <w:tabs>
          <w:tab w:val="right" w:leader="dot" w:pos="9350"/>
        </w:tabs>
        <w:rPr>
          <w:b w:val="0"/>
          <w:noProof/>
          <w:color w:val="2E74B5" w:themeColor="accent1" w:themeShade="BF"/>
        </w:rPr>
      </w:pPr>
    </w:p>
    <w:p w:rsidR="00CA6BEB" w:rsidRPr="008804A6" w:rsidRDefault="00CA6BEB" w:rsidP="00CA6BEB">
      <w:pPr>
        <w:pStyle w:val="TOC2"/>
        <w:tabs>
          <w:tab w:val="right" w:leader="dot" w:pos="9350"/>
        </w:tabs>
        <w:rPr>
          <w:rFonts w:eastAsiaTheme="minorEastAsia" w:cstheme="minorBidi"/>
          <w:b w:val="0"/>
          <w:noProof/>
          <w:sz w:val="24"/>
          <w:szCs w:val="24"/>
          <w:lang w:eastAsia="ja-JP"/>
        </w:rPr>
      </w:pPr>
      <w:r w:rsidRPr="006220A9">
        <w:rPr>
          <w:b w:val="0"/>
          <w:noProof/>
          <w:color w:val="2E74B5" w:themeColor="accent1" w:themeShade="BF"/>
        </w:rPr>
        <w:t>2.1 Definition of claim eligibility criteria</w:t>
      </w:r>
      <w:r w:rsidRPr="006220A9">
        <w:rPr>
          <w:b w:val="0"/>
          <w:noProof/>
        </w:rPr>
        <w:tab/>
      </w:r>
      <w:r w:rsidRPr="006220A9">
        <w:rPr>
          <w:b w:val="0"/>
          <w:noProof/>
        </w:rPr>
        <w:fldChar w:fldCharType="begin"/>
      </w:r>
      <w:r w:rsidRPr="006220A9">
        <w:rPr>
          <w:b w:val="0"/>
          <w:noProof/>
        </w:rPr>
        <w:instrText xml:space="preserve"> PAGEREF _Toc414271820 \h </w:instrText>
      </w:r>
      <w:r w:rsidRPr="006220A9">
        <w:rPr>
          <w:b w:val="0"/>
          <w:noProof/>
        </w:rPr>
      </w:r>
      <w:r w:rsidRPr="006220A9">
        <w:rPr>
          <w:b w:val="0"/>
          <w:noProof/>
        </w:rPr>
        <w:fldChar w:fldCharType="separate"/>
      </w:r>
      <w:r w:rsidRPr="006220A9">
        <w:rPr>
          <w:b w:val="0"/>
          <w:noProof/>
        </w:rPr>
        <w:t>6</w:t>
      </w:r>
      <w:r w:rsidRPr="006220A9">
        <w:rPr>
          <w:b w:val="0"/>
          <w:noProof/>
        </w:rPr>
        <w:fldChar w:fldCharType="end"/>
      </w:r>
    </w:p>
    <w:p w:rsidR="00CA6BEB" w:rsidRPr="008804A6" w:rsidRDefault="00CA6BEB" w:rsidP="00CA6BEB">
      <w:pPr>
        <w:pStyle w:val="TOC2"/>
        <w:tabs>
          <w:tab w:val="right" w:leader="dot" w:pos="9350"/>
        </w:tabs>
        <w:rPr>
          <w:rFonts w:eastAsiaTheme="minorEastAsia" w:cstheme="minorBidi"/>
          <w:b w:val="0"/>
          <w:noProof/>
          <w:sz w:val="24"/>
          <w:szCs w:val="24"/>
          <w:lang w:eastAsia="ja-JP"/>
        </w:rPr>
      </w:pPr>
      <w:r w:rsidRPr="006220A9">
        <w:rPr>
          <w:b w:val="0"/>
          <w:noProof/>
          <w:color w:val="2E74B5" w:themeColor="accent1" w:themeShade="BF"/>
        </w:rPr>
        <w:t>2.2 Build capacities for DfS and his partners to achieve operational excellence</w:t>
      </w:r>
      <w:r w:rsidRPr="006220A9">
        <w:rPr>
          <w:b w:val="0"/>
          <w:noProof/>
        </w:rPr>
        <w:tab/>
      </w:r>
      <w:r w:rsidRPr="006220A9">
        <w:rPr>
          <w:b w:val="0"/>
          <w:noProof/>
        </w:rPr>
        <w:fldChar w:fldCharType="begin"/>
      </w:r>
      <w:r w:rsidRPr="006220A9">
        <w:rPr>
          <w:b w:val="0"/>
          <w:noProof/>
        </w:rPr>
        <w:instrText xml:space="preserve"> PAGEREF _Toc414271821 \h </w:instrText>
      </w:r>
      <w:r w:rsidRPr="006220A9">
        <w:rPr>
          <w:b w:val="0"/>
          <w:noProof/>
        </w:rPr>
      </w:r>
      <w:r w:rsidRPr="006220A9">
        <w:rPr>
          <w:b w:val="0"/>
          <w:noProof/>
        </w:rPr>
        <w:fldChar w:fldCharType="separate"/>
      </w:r>
      <w:r w:rsidRPr="006220A9">
        <w:rPr>
          <w:b w:val="0"/>
          <w:noProof/>
        </w:rPr>
        <w:t>7</w:t>
      </w:r>
      <w:r w:rsidRPr="006220A9">
        <w:rPr>
          <w:b w:val="0"/>
          <w:noProof/>
        </w:rPr>
        <w:fldChar w:fldCharType="end"/>
      </w:r>
    </w:p>
    <w:p w:rsidR="00CA6BEB" w:rsidRPr="008804A6" w:rsidRDefault="00CA6BEB" w:rsidP="00CA6BEB">
      <w:pPr>
        <w:pStyle w:val="TOC2"/>
        <w:tabs>
          <w:tab w:val="right" w:leader="dot" w:pos="9350"/>
        </w:tabs>
        <w:rPr>
          <w:rFonts w:eastAsiaTheme="minorEastAsia" w:cstheme="minorBidi"/>
          <w:b w:val="0"/>
          <w:noProof/>
          <w:sz w:val="24"/>
          <w:szCs w:val="24"/>
          <w:lang w:eastAsia="ja-JP"/>
        </w:rPr>
      </w:pPr>
      <w:r w:rsidRPr="006220A9">
        <w:rPr>
          <w:b w:val="0"/>
          <w:noProof/>
          <w:color w:val="2E74B5" w:themeColor="accent1" w:themeShade="BF"/>
        </w:rPr>
        <w:t>2.3 Presentation of the Damman’s funding strategy</w:t>
      </w:r>
      <w:r w:rsidRPr="006220A9">
        <w:rPr>
          <w:b w:val="0"/>
          <w:noProof/>
        </w:rPr>
        <w:tab/>
      </w:r>
      <w:r w:rsidRPr="006220A9">
        <w:rPr>
          <w:b w:val="0"/>
          <w:noProof/>
        </w:rPr>
        <w:fldChar w:fldCharType="begin"/>
      </w:r>
      <w:r w:rsidRPr="006220A9">
        <w:rPr>
          <w:b w:val="0"/>
          <w:noProof/>
        </w:rPr>
        <w:instrText xml:space="preserve"> PAGEREF _Toc414271822 \h </w:instrText>
      </w:r>
      <w:r w:rsidRPr="006220A9">
        <w:rPr>
          <w:b w:val="0"/>
          <w:noProof/>
        </w:rPr>
      </w:r>
      <w:r w:rsidRPr="006220A9">
        <w:rPr>
          <w:b w:val="0"/>
          <w:noProof/>
        </w:rPr>
        <w:fldChar w:fldCharType="separate"/>
      </w:r>
      <w:r w:rsidRPr="006220A9">
        <w:rPr>
          <w:b w:val="0"/>
          <w:noProof/>
        </w:rPr>
        <w:t>8</w:t>
      </w:r>
      <w:r w:rsidRPr="006220A9">
        <w:rPr>
          <w:b w:val="0"/>
          <w:noProof/>
        </w:rPr>
        <w:fldChar w:fldCharType="end"/>
      </w:r>
    </w:p>
    <w:p w:rsidR="00CA6BEB" w:rsidRPr="006220A9" w:rsidRDefault="00CA6BEB" w:rsidP="00CA6BEB">
      <w:pPr>
        <w:jc w:val="both"/>
        <w:rPr>
          <w:rFonts w:ascii="Arial" w:hAnsi="Arial" w:cs="Arial"/>
          <w:bCs/>
          <w:sz w:val="22"/>
          <w:szCs w:val="22"/>
          <w:u w:val="single"/>
        </w:rPr>
      </w:pPr>
      <w:r w:rsidRPr="006220A9">
        <w:rPr>
          <w:rFonts w:ascii="Arial" w:hAnsi="Arial" w:cs="Arial"/>
          <w:bCs/>
          <w:sz w:val="22"/>
          <w:szCs w:val="22"/>
          <w:u w:val="single"/>
        </w:rPr>
        <w:fldChar w:fldCharType="end"/>
      </w:r>
    </w:p>
    <w:p w:rsidR="00CA6BEB" w:rsidRPr="00407089" w:rsidRDefault="00CA6BEB" w:rsidP="00CA6BEB">
      <w:pPr>
        <w:jc w:val="both"/>
        <w:rPr>
          <w:rFonts w:ascii="Arial" w:hAnsi="Arial" w:cs="Arial"/>
          <w:b/>
          <w:bCs/>
          <w:sz w:val="22"/>
          <w:szCs w:val="22"/>
          <w:u w:val="single"/>
        </w:rPr>
      </w:pPr>
    </w:p>
    <w:p w:rsidR="00CA6BEB" w:rsidRPr="00407089" w:rsidRDefault="00CA6BEB" w:rsidP="00CA6BEB">
      <w:pPr>
        <w:jc w:val="both"/>
        <w:rPr>
          <w:rFonts w:ascii="Arial" w:hAnsi="Arial" w:cs="Arial"/>
          <w:b/>
          <w:bCs/>
          <w:sz w:val="22"/>
          <w:szCs w:val="22"/>
          <w:u w:val="single"/>
        </w:rPr>
      </w:pPr>
    </w:p>
    <w:p w:rsidR="00CA6BEB" w:rsidRDefault="00CA6BEB" w:rsidP="00CA6BEB">
      <w:pPr>
        <w:spacing w:after="160" w:line="259" w:lineRule="auto"/>
        <w:rPr>
          <w:rFonts w:ascii="Arial" w:eastAsiaTheme="majorEastAsia" w:hAnsi="Arial" w:cs="Arial"/>
          <w:b/>
          <w:bCs/>
          <w:i/>
          <w:color w:val="000090"/>
          <w:sz w:val="22"/>
          <w:szCs w:val="22"/>
          <w:lang w:val="en-US" w:eastAsia="en-US"/>
        </w:rPr>
      </w:pPr>
      <w:r>
        <w:rPr>
          <w:rFonts w:ascii="Arial" w:hAnsi="Arial" w:cs="Arial"/>
          <w:i/>
          <w:sz w:val="22"/>
          <w:szCs w:val="22"/>
        </w:rPr>
        <w:br w:type="page"/>
      </w:r>
    </w:p>
    <w:p w:rsidR="00CA6BEB" w:rsidRPr="00D6348C" w:rsidRDefault="00CA6BEB" w:rsidP="00CA6BEB">
      <w:pPr>
        <w:pStyle w:val="Heading1"/>
        <w:keepLines w:val="0"/>
        <w:pBdr>
          <w:top w:val="single" w:sz="18" w:space="1" w:color="235F8C"/>
          <w:bottom w:val="single" w:sz="18" w:space="1" w:color="235F8C"/>
        </w:pBdr>
        <w:shd w:val="clear" w:color="auto" w:fill="DEEAF6" w:themeFill="accent1" w:themeFillTint="33"/>
        <w:spacing w:before="240" w:after="120" w:line="240" w:lineRule="auto"/>
        <w:jc w:val="both"/>
        <w:rPr>
          <w:rFonts w:asciiTheme="majorBidi" w:hAnsiTheme="majorBidi" w:cstheme="majorBidi"/>
          <w:color w:val="auto"/>
          <w:szCs w:val="28"/>
        </w:rPr>
      </w:pPr>
      <w:bookmarkStart w:id="0" w:name="_Toc414271813"/>
      <w:r w:rsidRPr="00D6348C">
        <w:rPr>
          <w:rFonts w:asciiTheme="majorBidi" w:hAnsiTheme="majorBidi" w:cstheme="majorBidi"/>
          <w:color w:val="auto"/>
          <w:szCs w:val="28"/>
        </w:rPr>
        <w:lastRenderedPageBreak/>
        <w:t>Introduction: a context that create specific need for vulnerable population</w:t>
      </w:r>
      <w:bookmarkEnd w:id="0"/>
    </w:p>
    <w:p w:rsidR="00CA6BEB" w:rsidRDefault="00CA6BEB" w:rsidP="00CA6BEB">
      <w:pPr>
        <w:jc w:val="both"/>
        <w:rPr>
          <w:rFonts w:ascii="Arial" w:hAnsi="Arial" w:cs="Arial"/>
          <w:sz w:val="22"/>
          <w:szCs w:val="22"/>
        </w:rPr>
      </w:pPr>
    </w:p>
    <w:p w:rsidR="00CA6BEB" w:rsidRPr="00407089" w:rsidRDefault="00CA6BEB" w:rsidP="00CA6BEB">
      <w:pPr>
        <w:jc w:val="both"/>
        <w:rPr>
          <w:rFonts w:ascii="Arial" w:hAnsi="Arial" w:cs="Arial"/>
          <w:sz w:val="22"/>
          <w:szCs w:val="22"/>
        </w:rPr>
      </w:pPr>
    </w:p>
    <w:p w:rsidR="00CA6BEB" w:rsidRDefault="00CA6BEB" w:rsidP="00CA6BEB">
      <w:pPr>
        <w:jc w:val="both"/>
      </w:pPr>
      <w:r w:rsidRPr="00407089">
        <w:t xml:space="preserve">The total population in </w:t>
      </w:r>
      <w:r>
        <w:t xml:space="preserve">Occupied </w:t>
      </w:r>
      <w:r w:rsidRPr="00407089">
        <w:t>Palestin</w:t>
      </w:r>
      <w:r>
        <w:t xml:space="preserve">ian Territories (OPT) </w:t>
      </w:r>
      <w:r w:rsidRPr="00407089">
        <w:t xml:space="preserve">is estimated </w:t>
      </w:r>
      <w:r>
        <w:t xml:space="preserve">around </w:t>
      </w:r>
      <w:r w:rsidRPr="00407089">
        <w:t>4. 8 million people</w:t>
      </w:r>
      <w:r>
        <w:t>:</w:t>
      </w:r>
      <w:r w:rsidRPr="00407089">
        <w:t xml:space="preserve"> 2, 9 million in the West Bank and 1, 9 million in the Gaza Strip</w:t>
      </w:r>
      <w:r>
        <w:t>.</w:t>
      </w:r>
      <w:r w:rsidRPr="00407089">
        <w:t xml:space="preserve"> </w:t>
      </w:r>
      <w:r>
        <w:t xml:space="preserve">Amongst this total, </w:t>
      </w:r>
      <w:r w:rsidRPr="00407089">
        <w:t xml:space="preserve">47% of the population </w:t>
      </w:r>
      <w:r>
        <w:t>(</w:t>
      </w:r>
      <w:r w:rsidRPr="00407089">
        <w:t>approximately 2 million people</w:t>
      </w:r>
      <w:r>
        <w:t>)</w:t>
      </w:r>
      <w:r w:rsidRPr="00407089">
        <w:t xml:space="preserve"> are less than 17 years old</w:t>
      </w:r>
      <w:r>
        <w:t xml:space="preserve">, which means that </w:t>
      </w:r>
      <w:r w:rsidRPr="00407089">
        <w:t>the Palestinian society is a "youth society".</w:t>
      </w:r>
    </w:p>
    <w:p w:rsidR="00CA6BEB" w:rsidRPr="00407089" w:rsidRDefault="00CA6BEB" w:rsidP="00CA6BEB">
      <w:pPr>
        <w:jc w:val="both"/>
      </w:pPr>
    </w:p>
    <w:p w:rsidR="00CA6BEB" w:rsidRPr="00407089" w:rsidRDefault="00CA6BEB" w:rsidP="00CA6BEB">
      <w:pPr>
        <w:jc w:val="both"/>
      </w:pPr>
      <w:r w:rsidRPr="00407089">
        <w:t>The number of households in Palestine is estimated at 919,000</w:t>
      </w:r>
      <w:r>
        <w:t xml:space="preserve"> when t</w:t>
      </w:r>
      <w:r w:rsidRPr="00407089">
        <w:t xml:space="preserve">he average family size is </w:t>
      </w:r>
      <w:r>
        <w:t xml:space="preserve">about </w:t>
      </w:r>
      <w:r w:rsidRPr="00407089">
        <w:t>5.1 persons</w:t>
      </w:r>
      <w:r>
        <w:t>. Amongst this figure,</w:t>
      </w:r>
      <w:r w:rsidRPr="00407089">
        <w:t xml:space="preserve"> </w:t>
      </w:r>
      <w:r>
        <w:t>Women</w:t>
      </w:r>
      <w:r w:rsidRPr="00407089">
        <w:t xml:space="preserve"> head 10.6% of Palestinian households</w:t>
      </w:r>
      <w:r>
        <w:t xml:space="preserve">. </w:t>
      </w:r>
    </w:p>
    <w:p w:rsidR="00CA6BEB" w:rsidRPr="00407089" w:rsidRDefault="00CA6BEB" w:rsidP="00CA6BEB">
      <w:pPr>
        <w:jc w:val="both"/>
        <w:rPr>
          <w:rFonts w:ascii="Arial" w:hAnsi="Arial" w:cs="Arial"/>
          <w:sz w:val="22"/>
          <w:szCs w:val="22"/>
        </w:rPr>
      </w:pPr>
    </w:p>
    <w:p w:rsidR="00CA6BEB" w:rsidRDefault="00CA6BEB" w:rsidP="00CA6BEB">
      <w:pPr>
        <w:jc w:val="both"/>
        <w:rPr>
          <w:rFonts w:ascii="Arial" w:hAnsi="Arial" w:cs="Arial"/>
          <w:sz w:val="22"/>
          <w:szCs w:val="22"/>
        </w:rPr>
      </w:pPr>
      <w:r w:rsidRPr="006220A9">
        <w:rPr>
          <w:rFonts w:ascii="Arial" w:hAnsi="Arial" w:cs="Arial"/>
          <w:noProof/>
          <w:sz w:val="22"/>
          <w:szCs w:val="22"/>
          <w:lang w:val="en-US" w:eastAsia="en-US"/>
        </w:rPr>
        <w:drawing>
          <wp:anchor distT="0" distB="0" distL="114300" distR="114300" simplePos="0" relativeHeight="251659264" behindDoc="0" locked="0" layoutInCell="1" allowOverlap="1" wp14:anchorId="691376CE" wp14:editId="2AC1A2D1">
            <wp:simplePos x="0" y="0"/>
            <wp:positionH relativeFrom="column">
              <wp:posOffset>0</wp:posOffset>
            </wp:positionH>
            <wp:positionV relativeFrom="paragraph">
              <wp:posOffset>400050</wp:posOffset>
            </wp:positionV>
            <wp:extent cx="1943100" cy="2969895"/>
            <wp:effectExtent l="0" t="0" r="12700" b="1905"/>
            <wp:wrapSquare wrapText="bothSides"/>
            <wp:docPr id="3" name="Image 3" descr="Macintosh HD:Users:jbenomar:Desktop:Capture d’écran 2019-03-14 à 21.2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benomar:Desktop:Capture d’écran 2019-03-14 à 21.29.5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29698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07089">
        <w:rPr>
          <w:rFonts w:ascii="Arial" w:hAnsi="Arial" w:cs="Arial"/>
          <w:sz w:val="22"/>
          <w:szCs w:val="22"/>
        </w:rPr>
        <w:t>The Israeli occupation of the Palestinian territories since 1967 has had irrevocable consequences on the livelihood of the Palestinian people; most</w:t>
      </w:r>
      <w:r>
        <w:rPr>
          <w:rFonts w:ascii="Arial" w:hAnsi="Arial" w:cs="Arial"/>
          <w:sz w:val="22"/>
          <w:szCs w:val="22"/>
        </w:rPr>
        <w:t xml:space="preserve"> particularly</w:t>
      </w:r>
      <w:r w:rsidRPr="00407089">
        <w:rPr>
          <w:rFonts w:ascii="Arial" w:hAnsi="Arial" w:cs="Arial"/>
          <w:sz w:val="22"/>
          <w:szCs w:val="22"/>
        </w:rPr>
        <w:t xml:space="preserve"> on the socio-economic front. This is apparent in basic access to food, property, and freedom of movement. </w:t>
      </w:r>
    </w:p>
    <w:p w:rsidR="00CA6BEB" w:rsidRDefault="00CA6BEB" w:rsidP="00CA6BEB">
      <w:pPr>
        <w:jc w:val="both"/>
        <w:rPr>
          <w:rFonts w:ascii="Arial" w:hAnsi="Arial" w:cs="Arial"/>
          <w:sz w:val="22"/>
          <w:szCs w:val="22"/>
        </w:rPr>
      </w:pPr>
    </w:p>
    <w:p w:rsidR="00CA6BEB" w:rsidRDefault="00CA6BEB" w:rsidP="00CA6BEB">
      <w:pPr>
        <w:jc w:val="both"/>
        <w:rPr>
          <w:rFonts w:ascii="Arial" w:hAnsi="Arial" w:cs="Arial"/>
          <w:sz w:val="22"/>
          <w:szCs w:val="22"/>
        </w:rPr>
      </w:pPr>
      <w:r w:rsidRPr="00407089">
        <w:rPr>
          <w:rFonts w:ascii="Arial" w:hAnsi="Arial" w:cs="Arial"/>
          <w:sz w:val="22"/>
          <w:szCs w:val="22"/>
        </w:rPr>
        <w:t xml:space="preserve">According to </w:t>
      </w:r>
      <w:r>
        <w:rPr>
          <w:rFonts w:ascii="Arial" w:hAnsi="Arial" w:cs="Arial"/>
          <w:sz w:val="22"/>
          <w:szCs w:val="22"/>
        </w:rPr>
        <w:t xml:space="preserve">the </w:t>
      </w:r>
      <w:r w:rsidRPr="00407089">
        <w:rPr>
          <w:rFonts w:ascii="Arial" w:hAnsi="Arial" w:cs="Arial"/>
          <w:sz w:val="22"/>
          <w:szCs w:val="22"/>
        </w:rPr>
        <w:t>U</w:t>
      </w:r>
      <w:r>
        <w:rPr>
          <w:rFonts w:ascii="Arial" w:hAnsi="Arial" w:cs="Arial"/>
          <w:sz w:val="22"/>
          <w:szCs w:val="22"/>
        </w:rPr>
        <w:t xml:space="preserve">nited </w:t>
      </w:r>
      <w:r w:rsidRPr="00407089">
        <w:rPr>
          <w:rFonts w:ascii="Arial" w:hAnsi="Arial" w:cs="Arial"/>
          <w:sz w:val="22"/>
          <w:szCs w:val="22"/>
        </w:rPr>
        <w:t>N</w:t>
      </w:r>
      <w:r>
        <w:rPr>
          <w:rFonts w:ascii="Arial" w:hAnsi="Arial" w:cs="Arial"/>
          <w:sz w:val="22"/>
          <w:szCs w:val="22"/>
        </w:rPr>
        <w:t>ations Office for the Coordination of Humanitarian Affairs</w:t>
      </w:r>
      <w:r>
        <w:rPr>
          <w:rStyle w:val="FootnoteReference"/>
          <w:rFonts w:ascii="Arial" w:hAnsi="Arial" w:cs="Arial"/>
          <w:sz w:val="22"/>
          <w:szCs w:val="22"/>
        </w:rPr>
        <w:footnoteReference w:id="1"/>
      </w:r>
      <w:r>
        <w:rPr>
          <w:rFonts w:ascii="Arial" w:hAnsi="Arial" w:cs="Arial"/>
          <w:sz w:val="22"/>
          <w:szCs w:val="22"/>
        </w:rPr>
        <w:t>:</w:t>
      </w:r>
      <w:r w:rsidRPr="00407089">
        <w:rPr>
          <w:rFonts w:ascii="Arial" w:hAnsi="Arial" w:cs="Arial"/>
          <w:sz w:val="22"/>
          <w:szCs w:val="22"/>
        </w:rPr>
        <w:t>,1.8 million</w:t>
      </w:r>
      <w:r>
        <w:rPr>
          <w:rFonts w:ascii="Arial" w:hAnsi="Arial" w:cs="Arial"/>
          <w:sz w:val="22"/>
          <w:szCs w:val="22"/>
        </w:rPr>
        <w:t>s of</w:t>
      </w:r>
      <w:r w:rsidRPr="00407089">
        <w:rPr>
          <w:rFonts w:ascii="Arial" w:hAnsi="Arial" w:cs="Arial"/>
          <w:sz w:val="22"/>
          <w:szCs w:val="22"/>
        </w:rPr>
        <w:t xml:space="preserve"> Palestinians received</w:t>
      </w:r>
      <w:r>
        <w:rPr>
          <w:rFonts w:ascii="Arial" w:hAnsi="Arial" w:cs="Arial"/>
          <w:sz w:val="22"/>
          <w:szCs w:val="22"/>
        </w:rPr>
        <w:t xml:space="preserve"> </w:t>
      </w:r>
      <w:r w:rsidRPr="00407089">
        <w:rPr>
          <w:rFonts w:ascii="Arial" w:hAnsi="Arial" w:cs="Arial"/>
          <w:sz w:val="22"/>
          <w:szCs w:val="22"/>
        </w:rPr>
        <w:t>humanitarian</w:t>
      </w:r>
      <w:r>
        <w:rPr>
          <w:rFonts w:ascii="Arial" w:hAnsi="Arial" w:cs="Arial"/>
          <w:sz w:val="22"/>
          <w:szCs w:val="22"/>
        </w:rPr>
        <w:t xml:space="preserve"> emergency aid,</w:t>
      </w:r>
      <w:r w:rsidRPr="00407089">
        <w:rPr>
          <w:rFonts w:ascii="Arial" w:hAnsi="Arial" w:cs="Arial"/>
          <w:sz w:val="22"/>
          <w:szCs w:val="22"/>
        </w:rPr>
        <w:t xml:space="preserve"> approximately 1.6 million Palestinians in the O</w:t>
      </w:r>
      <w:r>
        <w:rPr>
          <w:rFonts w:ascii="Arial" w:hAnsi="Arial" w:cs="Arial"/>
          <w:sz w:val="22"/>
          <w:szCs w:val="22"/>
        </w:rPr>
        <w:t xml:space="preserve">ccupied </w:t>
      </w:r>
      <w:r w:rsidRPr="00407089">
        <w:rPr>
          <w:rFonts w:ascii="Arial" w:hAnsi="Arial" w:cs="Arial"/>
          <w:sz w:val="22"/>
          <w:szCs w:val="22"/>
        </w:rPr>
        <w:t>P</w:t>
      </w:r>
      <w:r>
        <w:rPr>
          <w:rFonts w:ascii="Arial" w:hAnsi="Arial" w:cs="Arial"/>
          <w:sz w:val="22"/>
          <w:szCs w:val="22"/>
        </w:rPr>
        <w:t xml:space="preserve">alestinian </w:t>
      </w:r>
      <w:r w:rsidRPr="00407089">
        <w:rPr>
          <w:rFonts w:ascii="Arial" w:hAnsi="Arial" w:cs="Arial"/>
          <w:sz w:val="22"/>
          <w:szCs w:val="22"/>
        </w:rPr>
        <w:t>T</w:t>
      </w:r>
      <w:r>
        <w:rPr>
          <w:rFonts w:ascii="Arial" w:hAnsi="Arial" w:cs="Arial"/>
          <w:sz w:val="22"/>
          <w:szCs w:val="22"/>
        </w:rPr>
        <w:t>erritory (OPT) and</w:t>
      </w:r>
      <w:r w:rsidRPr="00407089">
        <w:rPr>
          <w:rFonts w:ascii="Arial" w:hAnsi="Arial" w:cs="Arial"/>
          <w:sz w:val="22"/>
          <w:szCs w:val="22"/>
        </w:rPr>
        <w:t xml:space="preserve"> 31.5 % of households, suffer from food insecurity. This</w:t>
      </w:r>
      <w:r>
        <w:rPr>
          <w:rFonts w:ascii="Arial" w:hAnsi="Arial" w:cs="Arial"/>
          <w:sz w:val="22"/>
          <w:szCs w:val="22"/>
        </w:rPr>
        <w:t xml:space="preserve">, </w:t>
      </w:r>
      <w:r w:rsidRPr="00407089">
        <w:rPr>
          <w:rFonts w:ascii="Arial" w:hAnsi="Arial" w:cs="Arial"/>
          <w:sz w:val="22"/>
          <w:szCs w:val="22"/>
        </w:rPr>
        <w:t>due to high unemployment, low household incomes and risin</w:t>
      </w:r>
      <w:r>
        <w:rPr>
          <w:rFonts w:ascii="Arial" w:hAnsi="Arial" w:cs="Arial"/>
          <w:sz w:val="22"/>
          <w:szCs w:val="22"/>
        </w:rPr>
        <w:t>g</w:t>
      </w:r>
      <w:r w:rsidRPr="00407089">
        <w:rPr>
          <w:rFonts w:ascii="Arial" w:hAnsi="Arial" w:cs="Arial"/>
          <w:sz w:val="22"/>
          <w:szCs w:val="22"/>
        </w:rPr>
        <w:t xml:space="preserve"> living costs</w:t>
      </w:r>
      <w:r>
        <w:rPr>
          <w:rFonts w:ascii="Arial" w:hAnsi="Arial" w:cs="Arial"/>
          <w:sz w:val="22"/>
          <w:szCs w:val="22"/>
        </w:rPr>
        <w:t>.</w:t>
      </w:r>
    </w:p>
    <w:p w:rsidR="0008522C" w:rsidRDefault="00CA6BEB" w:rsidP="00CA6BEB">
      <w:pPr>
        <w:jc w:val="both"/>
        <w:rPr>
          <w:rFonts w:ascii="Arial" w:hAnsi="Arial" w:cs="Arial"/>
          <w:sz w:val="22"/>
          <w:szCs w:val="22"/>
        </w:rPr>
      </w:pPr>
      <w:r>
        <w:rPr>
          <w:rFonts w:ascii="Arial" w:hAnsi="Arial" w:cs="Arial"/>
          <w:sz w:val="22"/>
          <w:szCs w:val="22"/>
        </w:rPr>
        <w:t xml:space="preserve">Beginning of the year 2020 the whole world was hit by COVID19 and still the catastrophic effects of this critical era health </w:t>
      </w:r>
      <w:r w:rsidR="0008522C">
        <w:rPr>
          <w:rFonts w:ascii="Arial" w:hAnsi="Arial" w:cs="Arial"/>
          <w:sz w:val="22"/>
          <w:szCs w:val="22"/>
        </w:rPr>
        <w:t>wise, social</w:t>
      </w:r>
      <w:r>
        <w:rPr>
          <w:rFonts w:ascii="Arial" w:hAnsi="Arial" w:cs="Arial"/>
          <w:sz w:val="22"/>
          <w:szCs w:val="22"/>
        </w:rPr>
        <w:t xml:space="preserve"> and economic </w:t>
      </w:r>
      <w:r w:rsidR="0008522C">
        <w:rPr>
          <w:rFonts w:ascii="Arial" w:hAnsi="Arial" w:cs="Arial"/>
          <w:sz w:val="22"/>
          <w:szCs w:val="22"/>
        </w:rPr>
        <w:t>effects still under calculation.</w:t>
      </w:r>
    </w:p>
    <w:p w:rsidR="00CA6BEB" w:rsidRDefault="0008522C" w:rsidP="00CA6BEB">
      <w:pPr>
        <w:jc w:val="both"/>
        <w:rPr>
          <w:rFonts w:ascii="Arial" w:hAnsi="Arial" w:cs="Arial"/>
          <w:sz w:val="22"/>
          <w:szCs w:val="22"/>
        </w:rPr>
      </w:pPr>
      <w:r>
        <w:rPr>
          <w:rFonts w:ascii="Arial" w:hAnsi="Arial" w:cs="Arial"/>
          <w:sz w:val="22"/>
          <w:szCs w:val="22"/>
        </w:rPr>
        <w:t>This era was more severe when it comes to a small country like Palestine with the longest occupation now a days and very weak economy.</w:t>
      </w:r>
      <w:r w:rsidR="00CA6BEB">
        <w:rPr>
          <w:rFonts w:ascii="Arial" w:hAnsi="Arial" w:cs="Arial"/>
          <w:sz w:val="22"/>
          <w:szCs w:val="22"/>
        </w:rPr>
        <w:t xml:space="preserve"> </w:t>
      </w:r>
    </w:p>
    <w:p w:rsidR="00CA6BEB" w:rsidRPr="00407089" w:rsidRDefault="00CA6BEB" w:rsidP="00CA6BEB">
      <w:pPr>
        <w:jc w:val="both"/>
        <w:rPr>
          <w:rFonts w:ascii="Arial" w:hAnsi="Arial" w:cs="Arial"/>
          <w:sz w:val="22"/>
          <w:szCs w:val="22"/>
        </w:rPr>
      </w:pPr>
      <w:r w:rsidRPr="00407089">
        <w:rPr>
          <w:rFonts w:ascii="Arial" w:hAnsi="Arial" w:cs="Arial"/>
          <w:sz w:val="22"/>
          <w:szCs w:val="22"/>
        </w:rPr>
        <w:t>With regards to the subsequent high unemployment rate, many Palestinians have turned to self-employment activities, thus boosting demand for microfinance services</w:t>
      </w:r>
      <w:r w:rsidR="0008522C">
        <w:rPr>
          <w:rFonts w:ascii="Arial" w:hAnsi="Arial" w:cs="Arial"/>
          <w:sz w:val="22"/>
          <w:szCs w:val="22"/>
        </w:rPr>
        <w:t xml:space="preserve"> mainly in rural areas and area C in specific.</w:t>
      </w:r>
    </w:p>
    <w:p w:rsidR="00CA6BEB" w:rsidRDefault="00CA6BEB" w:rsidP="00CA6BEB">
      <w:pPr>
        <w:jc w:val="both"/>
        <w:rPr>
          <w:rFonts w:ascii="Arial" w:hAnsi="Arial" w:cs="Arial"/>
          <w:sz w:val="22"/>
          <w:szCs w:val="22"/>
        </w:rPr>
      </w:pPr>
      <w:r w:rsidRPr="00407089">
        <w:rPr>
          <w:rFonts w:ascii="Arial" w:hAnsi="Arial" w:cs="Arial"/>
          <w:sz w:val="22"/>
          <w:szCs w:val="22"/>
        </w:rPr>
        <w:t>With only a quarter of the potential microfinance market</w:t>
      </w:r>
      <w:r>
        <w:rPr>
          <w:rFonts w:ascii="Arial" w:hAnsi="Arial" w:cs="Arial"/>
          <w:sz w:val="22"/>
          <w:szCs w:val="22"/>
        </w:rPr>
        <w:t xml:space="preserve"> </w:t>
      </w:r>
      <w:r w:rsidRPr="00407089">
        <w:rPr>
          <w:rFonts w:ascii="Arial" w:hAnsi="Arial" w:cs="Arial"/>
          <w:sz w:val="22"/>
          <w:szCs w:val="22"/>
        </w:rPr>
        <w:t xml:space="preserve">covered and almost 50% of Palestinians in the West Bank and Gaza living below the poverty line, the demand for microfinance services remains strong. </w:t>
      </w:r>
    </w:p>
    <w:p w:rsidR="00CA6BEB" w:rsidRPr="00407089" w:rsidRDefault="00CA6BEB" w:rsidP="0008522C">
      <w:pPr>
        <w:jc w:val="both"/>
        <w:rPr>
          <w:rFonts w:ascii="Arial" w:hAnsi="Arial" w:cs="Arial"/>
          <w:sz w:val="22"/>
          <w:szCs w:val="22"/>
        </w:rPr>
      </w:pPr>
      <w:r w:rsidRPr="00407089">
        <w:rPr>
          <w:rFonts w:ascii="Arial" w:hAnsi="Arial" w:cs="Arial"/>
          <w:sz w:val="22"/>
          <w:szCs w:val="22"/>
        </w:rPr>
        <w:t xml:space="preserve">According to estimates, between 150,000 and 190,000 households need </w:t>
      </w:r>
      <w:r w:rsidR="0008522C">
        <w:rPr>
          <w:rFonts w:ascii="Arial" w:hAnsi="Arial" w:cs="Arial"/>
          <w:sz w:val="22"/>
          <w:szCs w:val="22"/>
        </w:rPr>
        <w:t xml:space="preserve">NON BANKABLE </w:t>
      </w:r>
      <w:r w:rsidR="0008522C" w:rsidRPr="00407089">
        <w:rPr>
          <w:rFonts w:ascii="Arial" w:hAnsi="Arial" w:cs="Arial"/>
          <w:sz w:val="22"/>
          <w:szCs w:val="22"/>
        </w:rPr>
        <w:t>microcredit</w:t>
      </w:r>
      <w:r w:rsidR="0008522C">
        <w:rPr>
          <w:rFonts w:ascii="Arial" w:hAnsi="Arial" w:cs="Arial"/>
          <w:sz w:val="22"/>
          <w:szCs w:val="22"/>
        </w:rPr>
        <w:t xml:space="preserve"> due to absence of land registration and co-laterals and they are mostly socially marginalized ,no accesses to finance as women, youth and farmers</w:t>
      </w:r>
      <w:r>
        <w:rPr>
          <w:rFonts w:ascii="Arial" w:hAnsi="Arial" w:cs="Arial"/>
          <w:sz w:val="22"/>
          <w:szCs w:val="22"/>
        </w:rPr>
        <w:t>.</w:t>
      </w:r>
    </w:p>
    <w:p w:rsidR="00CA6BEB" w:rsidRPr="00407089" w:rsidRDefault="00CA6BEB" w:rsidP="00CA6BEB">
      <w:pPr>
        <w:jc w:val="both"/>
        <w:rPr>
          <w:rFonts w:ascii="Arial" w:hAnsi="Arial" w:cs="Arial"/>
          <w:sz w:val="22"/>
          <w:szCs w:val="22"/>
        </w:rPr>
      </w:pPr>
      <w:r w:rsidRPr="00407089">
        <w:rPr>
          <w:rFonts w:ascii="Arial" w:hAnsi="Arial" w:cs="Arial"/>
          <w:sz w:val="22"/>
          <w:szCs w:val="22"/>
        </w:rPr>
        <w:t xml:space="preserve">Additional 96,000 </w:t>
      </w:r>
      <w:r>
        <w:rPr>
          <w:rFonts w:ascii="Arial" w:hAnsi="Arial" w:cs="Arial"/>
          <w:sz w:val="22"/>
          <w:szCs w:val="22"/>
        </w:rPr>
        <w:t xml:space="preserve">households </w:t>
      </w:r>
      <w:r w:rsidRPr="00407089">
        <w:rPr>
          <w:rFonts w:ascii="Arial" w:hAnsi="Arial" w:cs="Arial"/>
          <w:sz w:val="22"/>
          <w:szCs w:val="22"/>
        </w:rPr>
        <w:t xml:space="preserve">need SME credit and a further 200,000 need small-balance savings accounts and money transfer services. </w:t>
      </w:r>
    </w:p>
    <w:p w:rsidR="00CA6BEB" w:rsidRPr="00407089" w:rsidRDefault="00CA6BEB" w:rsidP="0008522C">
      <w:pPr>
        <w:jc w:val="both"/>
        <w:rPr>
          <w:rFonts w:ascii="Arial" w:hAnsi="Arial" w:cs="Arial"/>
          <w:sz w:val="22"/>
          <w:szCs w:val="22"/>
        </w:rPr>
      </w:pPr>
      <w:r w:rsidRPr="00407089">
        <w:rPr>
          <w:rFonts w:ascii="Arial" w:hAnsi="Arial" w:cs="Arial"/>
          <w:sz w:val="22"/>
          <w:szCs w:val="22"/>
        </w:rPr>
        <w:lastRenderedPageBreak/>
        <w:t xml:space="preserve">There are </w:t>
      </w:r>
      <w:r>
        <w:rPr>
          <w:rFonts w:ascii="Arial" w:hAnsi="Arial" w:cs="Arial"/>
          <w:sz w:val="22"/>
          <w:szCs w:val="22"/>
        </w:rPr>
        <w:t xml:space="preserve">currently only </w:t>
      </w:r>
      <w:r w:rsidR="0008522C">
        <w:rPr>
          <w:rFonts w:ascii="Arial" w:hAnsi="Arial" w:cs="Arial"/>
          <w:sz w:val="22"/>
          <w:szCs w:val="22"/>
        </w:rPr>
        <w:t xml:space="preserve">NINE </w:t>
      </w:r>
      <w:r w:rsidRPr="00407089">
        <w:rPr>
          <w:rFonts w:ascii="Arial" w:hAnsi="Arial" w:cs="Arial"/>
          <w:sz w:val="22"/>
          <w:szCs w:val="22"/>
        </w:rPr>
        <w:t xml:space="preserve">providers of microfinance services </w:t>
      </w:r>
      <w:r>
        <w:rPr>
          <w:rFonts w:ascii="Arial" w:hAnsi="Arial" w:cs="Arial"/>
          <w:sz w:val="22"/>
          <w:szCs w:val="22"/>
        </w:rPr>
        <w:t>for the MFI sector supervised and organized by</w:t>
      </w:r>
      <w:r w:rsidRPr="00407089">
        <w:rPr>
          <w:rFonts w:ascii="Arial" w:hAnsi="Arial" w:cs="Arial"/>
          <w:sz w:val="22"/>
          <w:szCs w:val="22"/>
        </w:rPr>
        <w:t xml:space="preserve"> </w:t>
      </w:r>
      <w:r>
        <w:rPr>
          <w:rFonts w:ascii="Arial" w:hAnsi="Arial" w:cs="Arial"/>
          <w:sz w:val="22"/>
          <w:szCs w:val="22"/>
        </w:rPr>
        <w:t xml:space="preserve">the </w:t>
      </w:r>
      <w:r w:rsidRPr="00407089">
        <w:rPr>
          <w:rFonts w:ascii="Arial" w:hAnsi="Arial" w:cs="Arial"/>
          <w:sz w:val="22"/>
          <w:szCs w:val="22"/>
        </w:rPr>
        <w:t>Palestinian Monitoring Authority (PMA)</w:t>
      </w:r>
      <w:r>
        <w:rPr>
          <w:rFonts w:ascii="Arial" w:hAnsi="Arial" w:cs="Arial"/>
          <w:sz w:val="22"/>
          <w:szCs w:val="22"/>
        </w:rPr>
        <w:t>.</w:t>
      </w:r>
    </w:p>
    <w:p w:rsidR="00D34DBF" w:rsidRDefault="00CA6BEB" w:rsidP="00CA6BEB">
      <w:pPr>
        <w:jc w:val="both"/>
        <w:rPr>
          <w:rFonts w:ascii="Arial" w:hAnsi="Arial" w:cs="Arial"/>
          <w:sz w:val="22"/>
          <w:szCs w:val="22"/>
        </w:rPr>
      </w:pPr>
      <w:r w:rsidRPr="00407089">
        <w:rPr>
          <w:rFonts w:ascii="Arial" w:hAnsi="Arial" w:cs="Arial"/>
          <w:sz w:val="22"/>
          <w:szCs w:val="22"/>
        </w:rPr>
        <w:t xml:space="preserve">According to the PMA, the MFIs have </w:t>
      </w:r>
      <w:r>
        <w:rPr>
          <w:rFonts w:ascii="Arial" w:hAnsi="Arial" w:cs="Arial"/>
          <w:sz w:val="22"/>
          <w:szCs w:val="22"/>
        </w:rPr>
        <w:t xml:space="preserve">substantial </w:t>
      </w:r>
      <w:r w:rsidRPr="00407089">
        <w:rPr>
          <w:rFonts w:ascii="Arial" w:hAnsi="Arial" w:cs="Arial"/>
          <w:sz w:val="22"/>
          <w:szCs w:val="22"/>
        </w:rPr>
        <w:t xml:space="preserve">potential growth in Palestine, despite its refinancing </w:t>
      </w:r>
      <w:r>
        <w:rPr>
          <w:rFonts w:ascii="Arial" w:hAnsi="Arial" w:cs="Arial"/>
          <w:sz w:val="22"/>
          <w:szCs w:val="22"/>
        </w:rPr>
        <w:t xml:space="preserve">and operational </w:t>
      </w:r>
      <w:r w:rsidRPr="00407089">
        <w:rPr>
          <w:rFonts w:ascii="Arial" w:hAnsi="Arial" w:cs="Arial"/>
          <w:sz w:val="22"/>
          <w:szCs w:val="22"/>
        </w:rPr>
        <w:t>cost an</w:t>
      </w:r>
      <w:r>
        <w:rPr>
          <w:rFonts w:ascii="Arial" w:hAnsi="Arial" w:cs="Arial"/>
          <w:sz w:val="22"/>
          <w:szCs w:val="22"/>
        </w:rPr>
        <w:t>d</w:t>
      </w:r>
      <w:r w:rsidRPr="00407089">
        <w:rPr>
          <w:rFonts w:ascii="Arial" w:hAnsi="Arial" w:cs="Arial"/>
          <w:sz w:val="22"/>
          <w:szCs w:val="22"/>
        </w:rPr>
        <w:t xml:space="preserve"> risk</w:t>
      </w:r>
      <w:r>
        <w:rPr>
          <w:rFonts w:ascii="Arial" w:hAnsi="Arial" w:cs="Arial"/>
          <w:sz w:val="22"/>
          <w:szCs w:val="22"/>
        </w:rPr>
        <w:t>s</w:t>
      </w:r>
      <w:r w:rsidRPr="00407089">
        <w:rPr>
          <w:rFonts w:ascii="Arial" w:hAnsi="Arial" w:cs="Arial"/>
          <w:sz w:val="22"/>
          <w:szCs w:val="22"/>
        </w:rPr>
        <w:t xml:space="preserve"> of the sector.</w:t>
      </w:r>
    </w:p>
    <w:p w:rsidR="00CA6BEB" w:rsidRDefault="00D34DBF" w:rsidP="00D34DBF">
      <w:pPr>
        <w:jc w:val="both"/>
        <w:rPr>
          <w:rFonts w:ascii="Arial" w:hAnsi="Arial" w:cs="Arial"/>
          <w:sz w:val="22"/>
          <w:szCs w:val="22"/>
        </w:rPr>
      </w:pPr>
      <w:r>
        <w:rPr>
          <w:rFonts w:ascii="Arial" w:hAnsi="Arial" w:cs="Arial"/>
          <w:sz w:val="22"/>
          <w:szCs w:val="22"/>
        </w:rPr>
        <w:t>SHARAKAH “The</w:t>
      </w:r>
      <w:r w:rsidRPr="00D34DBF">
        <w:rPr>
          <w:rFonts w:ascii="Arial" w:hAnsi="Arial" w:cs="Arial"/>
          <w:sz w:val="22"/>
          <w:szCs w:val="22"/>
        </w:rPr>
        <w:t xml:space="preserve"> </w:t>
      </w:r>
      <w:r>
        <w:rPr>
          <w:rFonts w:ascii="Arial" w:hAnsi="Arial" w:cs="Arial"/>
          <w:sz w:val="22"/>
          <w:szCs w:val="22"/>
        </w:rPr>
        <w:t>Palestinian Micro finance Institutions Network”</w:t>
      </w:r>
      <w:r w:rsidR="00CA6BEB" w:rsidRPr="00407089">
        <w:rPr>
          <w:rFonts w:ascii="Arial" w:hAnsi="Arial" w:cs="Arial"/>
          <w:sz w:val="22"/>
          <w:szCs w:val="22"/>
        </w:rPr>
        <w:t xml:space="preserve"> </w:t>
      </w:r>
      <w:r>
        <w:rPr>
          <w:rFonts w:ascii="Arial" w:hAnsi="Arial" w:cs="Arial"/>
          <w:sz w:val="22"/>
          <w:szCs w:val="22"/>
        </w:rPr>
        <w:t>played a major role in the areas of technical assistance and lobbying and advocacy to facilitate the work of micro finance in Palestine.</w:t>
      </w:r>
    </w:p>
    <w:p w:rsidR="00CA6BEB" w:rsidRPr="00407089" w:rsidRDefault="00CA6BEB" w:rsidP="00CA6BEB">
      <w:pPr>
        <w:jc w:val="both"/>
        <w:rPr>
          <w:rFonts w:ascii="Arial" w:hAnsi="Arial" w:cs="Arial"/>
          <w:sz w:val="22"/>
          <w:szCs w:val="22"/>
        </w:rPr>
      </w:pPr>
    </w:p>
    <w:p w:rsidR="00CA6BEB" w:rsidRDefault="00CA6BEB" w:rsidP="00CA6BEB">
      <w:pPr>
        <w:jc w:val="both"/>
        <w:rPr>
          <w:rFonts w:ascii="Arial" w:hAnsi="Arial" w:cs="Arial"/>
          <w:sz w:val="22"/>
          <w:szCs w:val="22"/>
        </w:rPr>
      </w:pPr>
      <w:r>
        <w:rPr>
          <w:rFonts w:ascii="Arial" w:hAnsi="Arial" w:cs="Arial"/>
          <w:sz w:val="22"/>
          <w:szCs w:val="22"/>
        </w:rPr>
        <w:t xml:space="preserve">In the West Bank, </w:t>
      </w:r>
      <w:r w:rsidRPr="00407089">
        <w:rPr>
          <w:rFonts w:ascii="Arial" w:hAnsi="Arial" w:cs="Arial"/>
          <w:sz w:val="22"/>
          <w:szCs w:val="22"/>
        </w:rPr>
        <w:t xml:space="preserve">PMA was able to organize the MFIs sector </w:t>
      </w:r>
      <w:r>
        <w:rPr>
          <w:rFonts w:ascii="Arial" w:hAnsi="Arial" w:cs="Arial"/>
          <w:sz w:val="22"/>
          <w:szCs w:val="22"/>
        </w:rPr>
        <w:t xml:space="preserve">and have improved its sustainability </w:t>
      </w:r>
      <w:r w:rsidRPr="00407089">
        <w:rPr>
          <w:rFonts w:ascii="Arial" w:hAnsi="Arial" w:cs="Arial"/>
          <w:sz w:val="22"/>
          <w:szCs w:val="22"/>
        </w:rPr>
        <w:t>which has led to increase its portfolio up to 213 million US$ with about 90,000 borrowers with no interference in the lending activities of MFIs</w:t>
      </w:r>
      <w:r>
        <w:rPr>
          <w:rFonts w:ascii="Arial" w:hAnsi="Arial" w:cs="Arial"/>
          <w:sz w:val="22"/>
          <w:szCs w:val="22"/>
        </w:rPr>
        <w:t>.</w:t>
      </w:r>
    </w:p>
    <w:p w:rsidR="00CA6BEB" w:rsidRDefault="00CA6BEB" w:rsidP="00CA6BEB">
      <w:pPr>
        <w:jc w:val="both"/>
        <w:rPr>
          <w:rFonts w:ascii="Arial" w:hAnsi="Arial" w:cs="Arial"/>
          <w:sz w:val="22"/>
          <w:szCs w:val="22"/>
        </w:rPr>
      </w:pPr>
    </w:p>
    <w:p w:rsidR="00CA6BEB" w:rsidRDefault="00CA6BEB" w:rsidP="00CA6BEB">
      <w:pPr>
        <w:jc w:val="both"/>
        <w:rPr>
          <w:rFonts w:ascii="Arial" w:hAnsi="Arial" w:cs="Arial"/>
          <w:sz w:val="22"/>
          <w:szCs w:val="22"/>
        </w:rPr>
      </w:pPr>
      <w:r>
        <w:rPr>
          <w:rFonts w:ascii="Arial" w:hAnsi="Arial" w:cs="Arial"/>
          <w:sz w:val="22"/>
          <w:szCs w:val="22"/>
        </w:rPr>
        <w:t xml:space="preserve">In contrast, MFIs </w:t>
      </w:r>
      <w:r w:rsidRPr="00407089">
        <w:rPr>
          <w:rFonts w:ascii="Arial" w:hAnsi="Arial" w:cs="Arial"/>
          <w:sz w:val="22"/>
          <w:szCs w:val="22"/>
        </w:rPr>
        <w:t>operated in a very difficult environment in the Gaza Strip.</w:t>
      </w:r>
      <w:r>
        <w:rPr>
          <w:rFonts w:ascii="Arial" w:hAnsi="Arial" w:cs="Arial"/>
          <w:sz w:val="22"/>
          <w:szCs w:val="22"/>
        </w:rPr>
        <w:t xml:space="preserve"> Since t</w:t>
      </w:r>
      <w:r w:rsidRPr="00407089">
        <w:rPr>
          <w:rFonts w:ascii="Arial" w:hAnsi="Arial" w:cs="Arial"/>
          <w:sz w:val="22"/>
          <w:szCs w:val="22"/>
        </w:rPr>
        <w:t xml:space="preserve">he war and the political decisions toward the salary cut in Gaza have affected the performance of these MFIs, </w:t>
      </w:r>
      <w:r>
        <w:rPr>
          <w:rFonts w:ascii="Arial" w:hAnsi="Arial" w:cs="Arial"/>
          <w:sz w:val="22"/>
          <w:szCs w:val="22"/>
        </w:rPr>
        <w:t>which now</w:t>
      </w:r>
      <w:r w:rsidRPr="00407089">
        <w:rPr>
          <w:rFonts w:ascii="Arial" w:hAnsi="Arial" w:cs="Arial"/>
          <w:sz w:val="22"/>
          <w:szCs w:val="22"/>
        </w:rPr>
        <w:t xml:space="preserve"> needs a third party to share the Risks</w:t>
      </w:r>
      <w:r>
        <w:rPr>
          <w:rFonts w:ascii="Arial" w:hAnsi="Arial" w:cs="Arial"/>
          <w:sz w:val="22"/>
          <w:szCs w:val="22"/>
        </w:rPr>
        <w:t xml:space="preserve">: this is the rationale of DAMAN for </w:t>
      </w:r>
      <w:r w:rsidR="00D34DBF">
        <w:rPr>
          <w:rFonts w:ascii="Arial" w:hAnsi="Arial" w:cs="Arial"/>
          <w:sz w:val="22"/>
          <w:szCs w:val="22"/>
        </w:rPr>
        <w:t xml:space="preserve">SME’s? </w:t>
      </w:r>
    </w:p>
    <w:p w:rsidR="00D34DBF" w:rsidRDefault="00D34DBF" w:rsidP="008A57D5">
      <w:pPr>
        <w:jc w:val="both"/>
        <w:rPr>
          <w:rFonts w:ascii="Arial" w:hAnsi="Arial" w:cs="Arial"/>
          <w:sz w:val="22"/>
          <w:szCs w:val="22"/>
        </w:rPr>
      </w:pPr>
      <w:r>
        <w:rPr>
          <w:rFonts w:ascii="Arial" w:hAnsi="Arial" w:cs="Arial"/>
          <w:sz w:val="22"/>
          <w:szCs w:val="22"/>
        </w:rPr>
        <w:t xml:space="preserve">During the year 2020 the PMA issued a </w:t>
      </w:r>
      <w:r w:rsidR="008A57D5">
        <w:rPr>
          <w:rFonts w:ascii="Arial" w:hAnsi="Arial" w:cs="Arial"/>
          <w:sz w:val="22"/>
          <w:szCs w:val="22"/>
        </w:rPr>
        <w:t>declaration</w:t>
      </w:r>
      <w:r>
        <w:rPr>
          <w:rFonts w:ascii="Arial" w:hAnsi="Arial" w:cs="Arial"/>
          <w:sz w:val="22"/>
          <w:szCs w:val="22"/>
        </w:rPr>
        <w:t xml:space="preserve"> dated </w:t>
      </w:r>
      <w:r w:rsidR="008A57D5">
        <w:rPr>
          <w:rFonts w:ascii="Arial" w:hAnsi="Arial" w:cs="Arial"/>
          <w:sz w:val="22"/>
          <w:szCs w:val="22"/>
        </w:rPr>
        <w:t>May 4</w:t>
      </w:r>
      <w:r w:rsidR="008A57D5" w:rsidRPr="008A57D5">
        <w:rPr>
          <w:rFonts w:ascii="Arial" w:hAnsi="Arial" w:cs="Arial"/>
          <w:sz w:val="22"/>
          <w:szCs w:val="22"/>
          <w:vertAlign w:val="superscript"/>
        </w:rPr>
        <w:t>th</w:t>
      </w:r>
      <w:r w:rsidR="008A57D5">
        <w:rPr>
          <w:rFonts w:ascii="Arial" w:hAnsi="Arial" w:cs="Arial"/>
          <w:sz w:val="22"/>
          <w:szCs w:val="22"/>
        </w:rPr>
        <w:t xml:space="preserve"> 2020 “Instructions 21 year 2020”</w:t>
      </w:r>
      <w:r>
        <w:rPr>
          <w:rFonts w:ascii="Arial" w:hAnsi="Arial" w:cs="Arial"/>
          <w:sz w:val="22"/>
          <w:szCs w:val="22"/>
        </w:rPr>
        <w:t xml:space="preserve"> in which the Credit </w:t>
      </w:r>
      <w:r w:rsidR="008A57D5">
        <w:rPr>
          <w:rFonts w:ascii="Arial" w:hAnsi="Arial" w:cs="Arial"/>
          <w:sz w:val="22"/>
          <w:szCs w:val="22"/>
        </w:rPr>
        <w:t>Guarantee</w:t>
      </w:r>
      <w:r>
        <w:rPr>
          <w:rFonts w:ascii="Arial" w:hAnsi="Arial" w:cs="Arial"/>
          <w:sz w:val="22"/>
          <w:szCs w:val="22"/>
        </w:rPr>
        <w:t xml:space="preserve"> fund in Palestine is officially recognized by the PMA and the letter of credit will help the MFI’s not include all </w:t>
      </w:r>
      <w:r w:rsidR="008A57D5">
        <w:rPr>
          <w:rFonts w:ascii="Arial" w:hAnsi="Arial" w:cs="Arial"/>
          <w:sz w:val="22"/>
          <w:szCs w:val="22"/>
        </w:rPr>
        <w:t>defaulted</w:t>
      </w:r>
      <w:r>
        <w:rPr>
          <w:rFonts w:ascii="Arial" w:hAnsi="Arial" w:cs="Arial"/>
          <w:sz w:val="22"/>
          <w:szCs w:val="22"/>
        </w:rPr>
        <w:t xml:space="preserve"> loans included on the letter of credit given </w:t>
      </w:r>
      <w:r w:rsidR="008A57D5">
        <w:rPr>
          <w:rFonts w:ascii="Arial" w:hAnsi="Arial" w:cs="Arial"/>
          <w:sz w:val="22"/>
          <w:szCs w:val="22"/>
        </w:rPr>
        <w:t>by:</w:t>
      </w:r>
    </w:p>
    <w:p w:rsidR="00D34DBF" w:rsidRPr="008A57D5" w:rsidRDefault="00D34DBF" w:rsidP="00D34DBF">
      <w:pPr>
        <w:pStyle w:val="ListParagraph"/>
        <w:numPr>
          <w:ilvl w:val="0"/>
          <w:numId w:val="5"/>
        </w:numPr>
        <w:jc w:val="both"/>
        <w:rPr>
          <w:rFonts w:ascii="Arial" w:hAnsi="Arial" w:cs="Arial"/>
          <w:b/>
          <w:bCs/>
          <w:sz w:val="22"/>
          <w:szCs w:val="22"/>
        </w:rPr>
      </w:pPr>
      <w:r w:rsidRPr="008A57D5">
        <w:rPr>
          <w:rFonts w:ascii="Arial" w:hAnsi="Arial" w:cs="Arial"/>
          <w:b/>
          <w:bCs/>
          <w:sz w:val="22"/>
          <w:szCs w:val="22"/>
        </w:rPr>
        <w:t>EPCGF “</w:t>
      </w:r>
      <w:r w:rsidR="008A57D5" w:rsidRPr="008A57D5">
        <w:rPr>
          <w:rFonts w:ascii="Arial" w:hAnsi="Arial" w:cs="Arial"/>
          <w:b/>
          <w:bCs/>
          <w:sz w:val="22"/>
          <w:szCs w:val="22"/>
        </w:rPr>
        <w:t>European</w:t>
      </w:r>
      <w:r w:rsidRPr="008A57D5">
        <w:rPr>
          <w:rFonts w:ascii="Arial" w:hAnsi="Arial" w:cs="Arial"/>
          <w:b/>
          <w:bCs/>
          <w:sz w:val="22"/>
          <w:szCs w:val="22"/>
        </w:rPr>
        <w:t xml:space="preserve"> Palestinian Credit Guarantee Fund “</w:t>
      </w:r>
    </w:p>
    <w:p w:rsidR="00D34DBF" w:rsidRPr="008A57D5" w:rsidRDefault="008A57D5" w:rsidP="00D34DBF">
      <w:pPr>
        <w:pStyle w:val="ListParagraph"/>
        <w:numPr>
          <w:ilvl w:val="0"/>
          <w:numId w:val="5"/>
        </w:numPr>
        <w:jc w:val="both"/>
        <w:rPr>
          <w:rFonts w:ascii="Arial" w:hAnsi="Arial" w:cs="Arial"/>
          <w:b/>
          <w:bCs/>
          <w:sz w:val="22"/>
          <w:szCs w:val="22"/>
        </w:rPr>
      </w:pPr>
      <w:r w:rsidRPr="008A57D5">
        <w:rPr>
          <w:rFonts w:ascii="Arial" w:hAnsi="Arial" w:cs="Arial"/>
          <w:b/>
          <w:bCs/>
          <w:sz w:val="22"/>
          <w:szCs w:val="22"/>
        </w:rPr>
        <w:t>MEI “Middle East Initiative “</w:t>
      </w:r>
    </w:p>
    <w:p w:rsidR="008A57D5" w:rsidRDefault="008A57D5" w:rsidP="00D34DBF">
      <w:pPr>
        <w:pStyle w:val="ListParagraph"/>
        <w:numPr>
          <w:ilvl w:val="0"/>
          <w:numId w:val="5"/>
        </w:numPr>
        <w:jc w:val="both"/>
        <w:rPr>
          <w:rFonts w:ascii="Arial" w:hAnsi="Arial" w:cs="Arial"/>
          <w:sz w:val="22"/>
          <w:szCs w:val="22"/>
        </w:rPr>
      </w:pPr>
      <w:r w:rsidRPr="008A57D5">
        <w:rPr>
          <w:rFonts w:ascii="Arial" w:hAnsi="Arial" w:cs="Arial"/>
          <w:b/>
          <w:bCs/>
          <w:sz w:val="22"/>
          <w:szCs w:val="22"/>
        </w:rPr>
        <w:t>DAMAN for SME’s</w:t>
      </w:r>
      <w:r>
        <w:rPr>
          <w:rFonts w:ascii="Arial" w:hAnsi="Arial" w:cs="Arial"/>
          <w:sz w:val="22"/>
          <w:szCs w:val="22"/>
        </w:rPr>
        <w:t xml:space="preserve"> </w:t>
      </w:r>
    </w:p>
    <w:p w:rsidR="008A57D5" w:rsidRPr="00D34DBF" w:rsidRDefault="008A57D5" w:rsidP="008A57D5">
      <w:pPr>
        <w:pStyle w:val="ListParagraph"/>
        <w:jc w:val="both"/>
        <w:rPr>
          <w:rFonts w:ascii="Arial" w:hAnsi="Arial" w:cs="Arial"/>
          <w:sz w:val="22"/>
          <w:szCs w:val="22"/>
        </w:rPr>
      </w:pPr>
      <w:r>
        <w:rPr>
          <w:rFonts w:ascii="Arial" w:hAnsi="Arial" w:cs="Arial"/>
          <w:sz w:val="22"/>
          <w:szCs w:val="22"/>
        </w:rPr>
        <w:t>Not calculated on the Provision.</w:t>
      </w:r>
    </w:p>
    <w:p w:rsidR="00CA6BEB" w:rsidRPr="006220A9" w:rsidRDefault="00CA6BEB" w:rsidP="00CA6BEB">
      <w:pPr>
        <w:pStyle w:val="Heading1"/>
        <w:keepLines w:val="0"/>
        <w:pBdr>
          <w:top w:val="single" w:sz="18" w:space="1" w:color="235F8C"/>
          <w:bottom w:val="single" w:sz="18" w:space="1" w:color="235F8C"/>
        </w:pBdr>
        <w:shd w:val="clear" w:color="auto" w:fill="DEEAF6" w:themeFill="accent1" w:themeFillTint="33"/>
        <w:spacing w:before="240" w:after="120" w:line="240" w:lineRule="auto"/>
        <w:jc w:val="both"/>
        <w:rPr>
          <w:color w:val="auto"/>
          <w:szCs w:val="28"/>
        </w:rPr>
      </w:pPr>
      <w:bookmarkStart w:id="1" w:name="_Toc414271814"/>
      <w:r w:rsidRPr="006220A9">
        <w:rPr>
          <w:rFonts w:ascii="Arial" w:hAnsi="Arial" w:cs="Arial"/>
          <w:szCs w:val="28"/>
        </w:rPr>
        <w:t xml:space="preserve">1. </w:t>
      </w:r>
      <w:r w:rsidRPr="00D6348C">
        <w:rPr>
          <w:rFonts w:asciiTheme="majorBidi" w:hAnsiTheme="majorBidi" w:cstheme="majorBidi"/>
          <w:szCs w:val="28"/>
        </w:rPr>
        <w:t xml:space="preserve">Presentation of DAMMAN </w:t>
      </w:r>
      <w:r w:rsidRPr="00D6348C">
        <w:rPr>
          <w:rFonts w:asciiTheme="majorBidi" w:hAnsiTheme="majorBidi" w:cstheme="majorBidi"/>
          <w:color w:val="auto"/>
          <w:szCs w:val="28"/>
        </w:rPr>
        <w:t>for SME’s</w:t>
      </w:r>
      <w:bookmarkEnd w:id="1"/>
    </w:p>
    <w:p w:rsidR="00CA6BEB" w:rsidRPr="00407089" w:rsidRDefault="00CA6BEB" w:rsidP="00CA6BEB">
      <w:pPr>
        <w:jc w:val="both"/>
        <w:rPr>
          <w:rStyle w:val="SubtleEmphasis"/>
          <w:rFonts w:ascii="Arial" w:eastAsiaTheme="majorEastAsia" w:hAnsi="Arial" w:cs="Arial"/>
          <w:i w:val="0"/>
          <w:sz w:val="22"/>
          <w:szCs w:val="22"/>
        </w:rPr>
      </w:pPr>
    </w:p>
    <w:p w:rsidR="00CA6BEB" w:rsidRPr="00D6348C" w:rsidRDefault="00CA6BEB" w:rsidP="00CA6BEB">
      <w:pPr>
        <w:pStyle w:val="Heading2"/>
        <w:numPr>
          <w:ilvl w:val="1"/>
          <w:numId w:val="3"/>
        </w:numPr>
        <w:tabs>
          <w:tab w:val="left" w:pos="426"/>
        </w:tabs>
        <w:jc w:val="both"/>
        <w:rPr>
          <w:rFonts w:asciiTheme="majorBidi" w:hAnsiTheme="majorBidi"/>
          <w:b/>
          <w:color w:val="2E74B5" w:themeColor="accent1" w:themeShade="BF"/>
          <w:sz w:val="24"/>
          <w:szCs w:val="24"/>
        </w:rPr>
      </w:pPr>
      <w:bookmarkStart w:id="2" w:name="_Toc414271815"/>
      <w:bookmarkStart w:id="3" w:name="_Toc403981910"/>
      <w:r w:rsidRPr="00D6348C">
        <w:rPr>
          <w:rFonts w:asciiTheme="majorBidi" w:hAnsiTheme="majorBidi"/>
          <w:b/>
          <w:color w:val="2E74B5" w:themeColor="accent1" w:themeShade="BF"/>
          <w:sz w:val="24"/>
          <w:szCs w:val="24"/>
        </w:rPr>
        <w:t>Status and partnerships</w:t>
      </w:r>
      <w:bookmarkEnd w:id="2"/>
    </w:p>
    <w:p w:rsidR="00CA6BEB" w:rsidRPr="00D6348C" w:rsidRDefault="00CA6BEB" w:rsidP="00CA6BEB">
      <w:pPr>
        <w:jc w:val="both"/>
        <w:rPr>
          <w:rFonts w:asciiTheme="majorBidi" w:hAnsiTheme="majorBidi" w:cstheme="majorBidi"/>
        </w:rPr>
      </w:pPr>
    </w:p>
    <w:p w:rsidR="00CA6BEB" w:rsidRPr="00D6348C" w:rsidRDefault="00CA6BEB" w:rsidP="00CA6BEB">
      <w:pPr>
        <w:ind w:left="426"/>
        <w:jc w:val="both"/>
        <w:rPr>
          <w:rStyle w:val="SubtleEmphasis"/>
          <w:rFonts w:asciiTheme="majorBidi" w:eastAsiaTheme="majorEastAsia" w:hAnsiTheme="majorBidi" w:cstheme="majorBidi"/>
          <w:i w:val="0"/>
          <w:color w:val="000000" w:themeColor="text1"/>
        </w:rPr>
      </w:pPr>
      <w:r w:rsidRPr="00D6348C">
        <w:rPr>
          <w:rStyle w:val="SubtleEmphasis"/>
          <w:rFonts w:asciiTheme="majorBidi" w:hAnsiTheme="majorBidi" w:cstheme="majorBidi"/>
          <w:b/>
          <w:bCs/>
          <w:color w:val="000000" w:themeColor="text1"/>
        </w:rPr>
        <w:t xml:space="preserve">DAMAN for SME’s (DfS) </w:t>
      </w:r>
      <w:r w:rsidRPr="00D6348C">
        <w:rPr>
          <w:rStyle w:val="SubtleEmphasis"/>
          <w:rFonts w:asciiTheme="majorBidi" w:hAnsiTheme="majorBidi" w:cstheme="majorBidi"/>
          <w:color w:val="000000" w:themeColor="text1"/>
        </w:rPr>
        <w:t xml:space="preserve">is a non-profit company for the Credit Guarantee Scheme registered in Ramallah in the Palestinian Territories under the Palestinian law </w:t>
      </w:r>
      <w:r w:rsidRPr="00D6348C">
        <w:rPr>
          <w:rFonts w:asciiTheme="majorBidi" w:hAnsiTheme="majorBidi" w:cstheme="majorBidi"/>
          <w:iCs/>
          <w:color w:val="000000" w:themeColor="text1"/>
        </w:rPr>
        <w:t>on April 8th, 2015 under (562540039) aiming at enhancing entrepreneurship in the adverse context of occupation</w:t>
      </w:r>
      <w:r w:rsidRPr="00D6348C">
        <w:rPr>
          <w:rStyle w:val="SubtleEmphasis"/>
          <w:rFonts w:asciiTheme="majorBidi" w:hAnsiTheme="majorBidi" w:cstheme="majorBidi"/>
          <w:color w:val="000000" w:themeColor="text1"/>
        </w:rPr>
        <w:t xml:space="preserve">.  </w:t>
      </w:r>
    </w:p>
    <w:p w:rsidR="00CA6BEB" w:rsidRPr="00D6348C" w:rsidRDefault="00CA6BEB" w:rsidP="00CA6BEB">
      <w:pPr>
        <w:ind w:left="426"/>
        <w:jc w:val="both"/>
        <w:rPr>
          <w:rStyle w:val="SubtleEmphasis"/>
          <w:rFonts w:asciiTheme="majorBidi" w:eastAsiaTheme="majorEastAsia" w:hAnsiTheme="majorBidi" w:cstheme="majorBidi"/>
          <w:b/>
          <w:bCs/>
          <w:i w:val="0"/>
          <w:lang w:val="en-US" w:eastAsia="en-US"/>
        </w:rPr>
      </w:pPr>
    </w:p>
    <w:p w:rsidR="00CA6BEB" w:rsidRPr="00D6348C" w:rsidRDefault="00CA6BEB" w:rsidP="00CA6BEB">
      <w:pPr>
        <w:ind w:left="426"/>
        <w:jc w:val="both"/>
        <w:rPr>
          <w:rStyle w:val="SubtleEmphasis"/>
          <w:rFonts w:asciiTheme="majorBidi" w:eastAsiaTheme="majorEastAsia" w:hAnsiTheme="majorBidi" w:cstheme="majorBidi"/>
          <w:i w:val="0"/>
        </w:rPr>
      </w:pPr>
      <w:bookmarkStart w:id="4" w:name="OLE_LINK1"/>
      <w:bookmarkStart w:id="5" w:name="OLE_LINK2"/>
      <w:r w:rsidRPr="00D6348C">
        <w:rPr>
          <w:rStyle w:val="SubtleEmphasis"/>
          <w:rFonts w:asciiTheme="majorBidi" w:hAnsiTheme="majorBidi" w:cstheme="majorBidi"/>
          <w:b/>
          <w:bCs/>
          <w:color w:val="000000" w:themeColor="text1"/>
        </w:rPr>
        <w:t>In addition, DfS’s</w:t>
      </w:r>
      <w:bookmarkEnd w:id="4"/>
      <w:bookmarkEnd w:id="5"/>
      <w:r w:rsidRPr="00D6348C">
        <w:rPr>
          <w:rStyle w:val="SubtleEmphasis"/>
          <w:rFonts w:asciiTheme="majorBidi" w:hAnsiTheme="majorBidi" w:cstheme="majorBidi"/>
          <w:color w:val="000000" w:themeColor="text1"/>
        </w:rPr>
        <w:t xml:space="preserve"> is a partnership between the Arab Centre for Agricultural Development (ACAD), the Palestinian Business women’s Association (ASALA) International Solidarity for Development and Investment (SIDI) </w:t>
      </w:r>
      <w:r w:rsidR="008A57D5">
        <w:rPr>
          <w:rStyle w:val="SubtleEmphasis"/>
          <w:rFonts w:asciiTheme="majorBidi" w:hAnsiTheme="majorBidi" w:cstheme="majorBidi"/>
          <w:color w:val="000000" w:themeColor="text1"/>
        </w:rPr>
        <w:t>–</w:t>
      </w:r>
      <w:r w:rsidRPr="00D6348C">
        <w:rPr>
          <w:rStyle w:val="SubtleEmphasis"/>
          <w:rFonts w:asciiTheme="majorBidi" w:hAnsiTheme="majorBidi" w:cstheme="majorBidi"/>
          <w:color w:val="000000" w:themeColor="text1"/>
        </w:rPr>
        <w:t xml:space="preserve"> France</w:t>
      </w:r>
      <w:r w:rsidR="008A57D5">
        <w:rPr>
          <w:rStyle w:val="SubtleEmphasis"/>
          <w:rFonts w:asciiTheme="majorBidi" w:hAnsiTheme="majorBidi" w:cstheme="majorBidi"/>
          <w:color w:val="000000" w:themeColor="text1"/>
        </w:rPr>
        <w:t xml:space="preserve"> , (REEF) micro finance </w:t>
      </w:r>
      <w:r w:rsidRPr="00D6348C">
        <w:rPr>
          <w:rStyle w:val="SubtleEmphasis"/>
          <w:rFonts w:asciiTheme="majorBidi" w:hAnsiTheme="majorBidi" w:cstheme="majorBidi"/>
          <w:color w:val="000000" w:themeColor="text1"/>
        </w:rPr>
        <w:t xml:space="preserve"> and New Vision Private Consultancy company which acts as the management wing for DAMAN for SME’s.</w:t>
      </w:r>
    </w:p>
    <w:p w:rsidR="00CA6BEB" w:rsidRPr="00D6348C" w:rsidRDefault="00CA6BEB" w:rsidP="008A57D5">
      <w:pPr>
        <w:ind w:left="426"/>
        <w:jc w:val="both"/>
        <w:rPr>
          <w:rStyle w:val="SubtleEmphasis"/>
          <w:rFonts w:asciiTheme="majorBidi" w:eastAsiaTheme="majorEastAsia" w:hAnsiTheme="majorBidi" w:cstheme="majorBidi"/>
          <w:i w:val="0"/>
          <w:color w:val="000000" w:themeColor="text1"/>
        </w:rPr>
      </w:pPr>
      <w:r w:rsidRPr="00D6348C">
        <w:rPr>
          <w:rStyle w:val="SubtleEmphasis"/>
          <w:rFonts w:asciiTheme="majorBidi" w:hAnsiTheme="majorBidi" w:cstheme="majorBidi"/>
          <w:color w:val="000000" w:themeColor="text1"/>
        </w:rPr>
        <w:t>DAMAN for SME’s act</w:t>
      </w:r>
      <w:r w:rsidR="008A57D5">
        <w:rPr>
          <w:rStyle w:val="SubtleEmphasis"/>
          <w:rFonts w:asciiTheme="majorBidi" w:hAnsiTheme="majorBidi" w:cstheme="majorBidi"/>
          <w:color w:val="000000" w:themeColor="text1"/>
        </w:rPr>
        <w:t>s</w:t>
      </w:r>
      <w:r w:rsidRPr="00D6348C">
        <w:rPr>
          <w:rStyle w:val="SubtleEmphasis"/>
          <w:rFonts w:asciiTheme="majorBidi" w:hAnsiTheme="majorBidi" w:cstheme="majorBidi"/>
          <w:color w:val="000000" w:themeColor="text1"/>
        </w:rPr>
        <w:t xml:space="preserve"> as a financial compensation instrument for vulnerable persons and groups such as women, youth, farmers, and cooperatives small and micro entrepreneurs directly affected by policies and practices imposed and implemented by the illegal Israeli occupation. </w:t>
      </w:r>
    </w:p>
    <w:p w:rsidR="00CA6BEB" w:rsidRPr="00D6348C" w:rsidRDefault="00CA6BEB" w:rsidP="00CA6BEB">
      <w:pPr>
        <w:jc w:val="both"/>
        <w:rPr>
          <w:rFonts w:asciiTheme="majorBidi" w:hAnsiTheme="majorBidi" w:cstheme="majorBidi"/>
        </w:rPr>
      </w:pPr>
    </w:p>
    <w:p w:rsidR="00CA6BEB" w:rsidRPr="00D6348C" w:rsidRDefault="00CA6BEB" w:rsidP="00CA6BEB">
      <w:pPr>
        <w:pStyle w:val="Heading2"/>
        <w:numPr>
          <w:ilvl w:val="1"/>
          <w:numId w:val="3"/>
        </w:numPr>
        <w:tabs>
          <w:tab w:val="left" w:pos="426"/>
        </w:tabs>
        <w:jc w:val="both"/>
        <w:rPr>
          <w:rFonts w:asciiTheme="majorBidi" w:hAnsiTheme="majorBidi"/>
          <w:b/>
          <w:color w:val="2E74B5" w:themeColor="accent1" w:themeShade="BF"/>
          <w:sz w:val="24"/>
          <w:szCs w:val="24"/>
        </w:rPr>
      </w:pPr>
      <w:bookmarkStart w:id="6" w:name="_Toc414271816"/>
      <w:r w:rsidRPr="00D6348C">
        <w:rPr>
          <w:rFonts w:asciiTheme="majorBidi" w:hAnsiTheme="majorBidi"/>
          <w:b/>
          <w:color w:val="2E74B5" w:themeColor="accent1" w:themeShade="BF"/>
          <w:sz w:val="24"/>
          <w:szCs w:val="24"/>
        </w:rPr>
        <w:lastRenderedPageBreak/>
        <w:t>Vision and mission</w:t>
      </w:r>
      <w:bookmarkEnd w:id="6"/>
    </w:p>
    <w:p w:rsidR="00CA6BEB" w:rsidRDefault="00CA6BEB" w:rsidP="00CA6BEB">
      <w:pPr>
        <w:jc w:val="both"/>
      </w:pPr>
    </w:p>
    <w:bookmarkEnd w:id="3"/>
    <w:p w:rsidR="00CA6BEB" w:rsidRPr="00D6348C" w:rsidRDefault="00CA6BEB" w:rsidP="00CA6BEB">
      <w:pPr>
        <w:ind w:left="426"/>
        <w:jc w:val="both"/>
        <w:rPr>
          <w:rFonts w:asciiTheme="majorBidi" w:hAnsiTheme="majorBidi" w:cstheme="majorBidi"/>
        </w:rPr>
      </w:pPr>
      <w:r w:rsidRPr="00D6348C">
        <w:rPr>
          <w:rStyle w:val="SubtleEmphasis"/>
          <w:rFonts w:asciiTheme="majorBidi" w:hAnsiTheme="majorBidi" w:cstheme="majorBidi"/>
          <w:b/>
          <w:bCs/>
          <w:color w:val="000000" w:themeColor="text1"/>
        </w:rPr>
        <w:t xml:space="preserve">DAMAN for SME’s </w:t>
      </w:r>
      <w:r w:rsidRPr="00D6348C">
        <w:rPr>
          <w:rFonts w:asciiTheme="majorBidi" w:hAnsiTheme="majorBidi" w:cstheme="majorBidi"/>
        </w:rPr>
        <w:t xml:space="preserve">believes in the socio- economic empowerment of Palestinians as a development instrument. Focusing on certain community segments which encounter high unemployment and poverty rates, such as women, new graduates, small farmers, cooperatives, people with special needs and other vulnerable person(s), is necessary to provide business perspectives to potential entrepreneurs and thus economic and social development of vulnerable communities in Palestine. </w:t>
      </w:r>
    </w:p>
    <w:p w:rsidR="00CA6BEB" w:rsidRPr="00D6348C" w:rsidRDefault="00CA6BEB" w:rsidP="00CA6BEB">
      <w:pPr>
        <w:ind w:left="426"/>
        <w:jc w:val="both"/>
        <w:rPr>
          <w:rFonts w:asciiTheme="majorBidi" w:hAnsiTheme="majorBidi" w:cstheme="majorBidi"/>
        </w:rPr>
      </w:pPr>
    </w:p>
    <w:p w:rsidR="00CA6BEB" w:rsidRPr="00D6348C" w:rsidRDefault="00CA6BEB" w:rsidP="00CA6BEB">
      <w:pPr>
        <w:ind w:left="426"/>
        <w:jc w:val="both"/>
        <w:rPr>
          <w:rFonts w:asciiTheme="majorBidi" w:hAnsiTheme="majorBidi" w:cstheme="majorBidi"/>
        </w:rPr>
      </w:pPr>
      <w:r w:rsidRPr="00D6348C">
        <w:rPr>
          <w:rFonts w:asciiTheme="majorBidi" w:hAnsiTheme="majorBidi" w:cstheme="majorBidi"/>
        </w:rPr>
        <w:t xml:space="preserve">In order to encourage investment in these areas, DfS provides with greater guarantees to individuals, which serve to protect them from the political related-risks and support them in providing themselves and their families with a sustainable source of income to meet their basic needs. In addition, DfS acts as contextual guarantee scheme for the social lenders such as ASALA for Credit and </w:t>
      </w:r>
      <w:r w:rsidR="00BF416B" w:rsidRPr="00D6348C">
        <w:rPr>
          <w:rFonts w:asciiTheme="majorBidi" w:hAnsiTheme="majorBidi" w:cstheme="majorBidi"/>
        </w:rPr>
        <w:t>Development, ACAD</w:t>
      </w:r>
      <w:r w:rsidRPr="00D6348C">
        <w:rPr>
          <w:rFonts w:asciiTheme="majorBidi" w:hAnsiTheme="majorBidi" w:cstheme="majorBidi"/>
        </w:rPr>
        <w:t xml:space="preserve"> Finance</w:t>
      </w:r>
      <w:r>
        <w:rPr>
          <w:rFonts w:asciiTheme="majorBidi" w:hAnsiTheme="majorBidi" w:cstheme="majorBidi"/>
        </w:rPr>
        <w:t xml:space="preserve"> and REEF Finance</w:t>
      </w:r>
      <w:r w:rsidRPr="00D6348C">
        <w:rPr>
          <w:rFonts w:asciiTheme="majorBidi" w:hAnsiTheme="majorBidi" w:cstheme="majorBidi"/>
        </w:rPr>
        <w:t>.</w:t>
      </w:r>
    </w:p>
    <w:p w:rsidR="00CA6BEB" w:rsidRDefault="00CA6BEB" w:rsidP="00CA6BEB">
      <w:pPr>
        <w:jc w:val="both"/>
        <w:rPr>
          <w:rFonts w:ascii="Arial" w:hAnsi="Arial" w:cs="Arial"/>
          <w:sz w:val="22"/>
          <w:szCs w:val="22"/>
        </w:rPr>
      </w:pPr>
    </w:p>
    <w:p w:rsidR="00CA6BEB" w:rsidRDefault="00CA6BEB" w:rsidP="00CA6BEB">
      <w:pPr>
        <w:jc w:val="both"/>
        <w:rPr>
          <w:rFonts w:ascii="Arial" w:hAnsi="Arial" w:cs="Arial"/>
          <w:sz w:val="22"/>
          <w:szCs w:val="22"/>
        </w:rPr>
      </w:pPr>
    </w:p>
    <w:p w:rsidR="00CA6BEB" w:rsidRPr="00407089" w:rsidRDefault="00CA6BEB" w:rsidP="00CA6BEB">
      <w:pPr>
        <w:jc w:val="both"/>
        <w:rPr>
          <w:rFonts w:ascii="Arial" w:hAnsi="Arial" w:cs="Arial"/>
          <w:sz w:val="22"/>
          <w:szCs w:val="22"/>
        </w:rPr>
      </w:pPr>
    </w:p>
    <w:p w:rsidR="00CA6BEB" w:rsidRPr="00D6348C" w:rsidRDefault="00CA6BEB" w:rsidP="00CA6BEB">
      <w:pPr>
        <w:pStyle w:val="Heading2"/>
        <w:numPr>
          <w:ilvl w:val="1"/>
          <w:numId w:val="3"/>
        </w:numPr>
        <w:tabs>
          <w:tab w:val="left" w:pos="426"/>
        </w:tabs>
        <w:jc w:val="both"/>
        <w:rPr>
          <w:rFonts w:asciiTheme="majorBidi" w:hAnsiTheme="majorBidi"/>
          <w:b/>
          <w:color w:val="2E74B5" w:themeColor="accent1" w:themeShade="BF"/>
          <w:sz w:val="24"/>
          <w:szCs w:val="24"/>
        </w:rPr>
      </w:pPr>
      <w:bookmarkStart w:id="7" w:name="_Toc414271817"/>
      <w:r w:rsidRPr="00D6348C">
        <w:rPr>
          <w:rFonts w:asciiTheme="majorBidi" w:hAnsiTheme="majorBidi"/>
          <w:b/>
          <w:color w:val="2E74B5" w:themeColor="accent1" w:themeShade="BF"/>
          <w:sz w:val="24"/>
          <w:szCs w:val="24"/>
        </w:rPr>
        <w:t>Objectives and expected results</w:t>
      </w:r>
      <w:bookmarkEnd w:id="7"/>
    </w:p>
    <w:p w:rsidR="00CA6BEB" w:rsidRPr="00D6348C" w:rsidRDefault="00CA6BEB" w:rsidP="00CA6BEB">
      <w:pPr>
        <w:jc w:val="both"/>
        <w:rPr>
          <w:rFonts w:asciiTheme="majorBidi" w:hAnsiTheme="majorBidi" w:cstheme="majorBidi"/>
        </w:rPr>
      </w:pPr>
    </w:p>
    <w:p w:rsidR="00CA6BEB" w:rsidRPr="00D6348C" w:rsidRDefault="00CA6BEB" w:rsidP="00CA6BEB">
      <w:pPr>
        <w:ind w:left="426"/>
        <w:jc w:val="both"/>
        <w:rPr>
          <w:rStyle w:val="SubtleEmphasis"/>
          <w:rFonts w:asciiTheme="majorBidi" w:hAnsiTheme="majorBidi" w:cstheme="majorBidi"/>
          <w:color w:val="000000" w:themeColor="text1"/>
        </w:rPr>
      </w:pPr>
      <w:r w:rsidRPr="00D6348C">
        <w:rPr>
          <w:rStyle w:val="SubtleEmphasis"/>
          <w:rFonts w:asciiTheme="majorBidi" w:hAnsiTheme="majorBidi" w:cstheme="majorBidi"/>
          <w:color w:val="000000" w:themeColor="text1"/>
        </w:rPr>
        <w:t xml:space="preserve">DfS’s global objective is to contribute to sustainable access to the financial services provided by the MFIs that directed towards </w:t>
      </w:r>
      <w:r w:rsidR="00BF416B" w:rsidRPr="00D6348C">
        <w:rPr>
          <w:rStyle w:val="SubtleEmphasis"/>
          <w:rFonts w:asciiTheme="majorBidi" w:hAnsiTheme="majorBidi" w:cstheme="majorBidi"/>
          <w:color w:val="000000" w:themeColor="text1"/>
        </w:rPr>
        <w:t>vulnerable, Non</w:t>
      </w:r>
      <w:r w:rsidR="00BF416B">
        <w:rPr>
          <w:rStyle w:val="SubtleEmphasis"/>
          <w:rFonts w:asciiTheme="majorBidi" w:hAnsiTheme="majorBidi" w:cstheme="majorBidi"/>
          <w:color w:val="000000" w:themeColor="text1"/>
        </w:rPr>
        <w:t xml:space="preserve"> Bankable </w:t>
      </w:r>
      <w:r w:rsidRPr="00D6348C">
        <w:rPr>
          <w:rStyle w:val="SubtleEmphasis"/>
          <w:rFonts w:asciiTheme="majorBidi" w:hAnsiTheme="majorBidi" w:cstheme="majorBidi"/>
          <w:color w:val="000000" w:themeColor="text1"/>
        </w:rPr>
        <w:t xml:space="preserve">micro and small entrepreneurs in high political risk areas. In addition, DfS’s encompasses occurrences of damages endured by borrowers because of the Israeli occupation of the Palestinian territories, expands its outreach in the West Bank, Gaza Strip and includes coverage of entrepreneurs residing in East Jerusalem. Aiming a continuous operation of the MFIs in the Gaza Strip, East Jerusalem and </w:t>
      </w:r>
      <w:r w:rsidR="00BF416B">
        <w:rPr>
          <w:rStyle w:val="SubtleEmphasis"/>
          <w:rFonts w:asciiTheme="majorBidi" w:hAnsiTheme="majorBidi" w:cstheme="majorBidi"/>
          <w:color w:val="000000" w:themeColor="text1"/>
        </w:rPr>
        <w:t xml:space="preserve">Rural areas including </w:t>
      </w:r>
      <w:r w:rsidRPr="00D6348C">
        <w:rPr>
          <w:rStyle w:val="SubtleEmphasis"/>
          <w:rFonts w:asciiTheme="majorBidi" w:hAnsiTheme="majorBidi" w:cstheme="majorBidi"/>
          <w:color w:val="000000" w:themeColor="text1"/>
        </w:rPr>
        <w:t>area C and strengthen poverty alleviation and reduction of violence in the region through Loan Guarantee Mechanism.</w:t>
      </w:r>
    </w:p>
    <w:p w:rsidR="00CA6BEB" w:rsidRPr="00D6348C" w:rsidRDefault="00CA6BEB" w:rsidP="00CA6BEB">
      <w:pPr>
        <w:ind w:left="426"/>
        <w:jc w:val="both"/>
        <w:rPr>
          <w:rStyle w:val="SubtleEmphasis"/>
          <w:rFonts w:asciiTheme="majorBidi" w:hAnsiTheme="majorBidi" w:cstheme="majorBidi"/>
          <w:color w:val="000000" w:themeColor="text1"/>
        </w:rPr>
      </w:pPr>
    </w:p>
    <w:p w:rsidR="00CA6BEB" w:rsidRPr="00D6348C" w:rsidRDefault="00CA6BEB" w:rsidP="00CA6BEB">
      <w:pPr>
        <w:ind w:left="426"/>
        <w:jc w:val="both"/>
        <w:rPr>
          <w:rFonts w:asciiTheme="majorBidi" w:hAnsiTheme="majorBidi" w:cstheme="majorBidi"/>
        </w:rPr>
      </w:pPr>
      <w:r w:rsidRPr="00D6348C">
        <w:rPr>
          <w:rFonts w:asciiTheme="majorBidi" w:hAnsiTheme="majorBidi" w:cstheme="majorBidi"/>
        </w:rPr>
        <w:t>In that perspective, DfS is pursuing the following specific objectives:</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t>Enabling the MFIs to sustain their financial services to the small and micro entrepreneurs who are vulnerable to the external political shocks caused by the illegal Israeli occupation policies and measures;</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t xml:space="preserve">Assisting the clients of ACAD F </w:t>
      </w:r>
      <w:r>
        <w:rPr>
          <w:rFonts w:asciiTheme="majorBidi" w:hAnsiTheme="majorBidi" w:cstheme="majorBidi"/>
        </w:rPr>
        <w:t xml:space="preserve">, REEF Finance </w:t>
      </w:r>
      <w:r w:rsidRPr="00D6348C">
        <w:rPr>
          <w:rFonts w:asciiTheme="majorBidi" w:hAnsiTheme="majorBidi" w:cstheme="majorBidi"/>
        </w:rPr>
        <w:t>and ASALA in the Occupied Palestinian Territories;</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t>Encouraging investment in areas affected highly by the occupation (small and micro income generating projects);</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t>Improving living conditions of the poor families;</w:t>
      </w:r>
    </w:p>
    <w:p w:rsidR="00CA6BEB" w:rsidRPr="00BF416B" w:rsidRDefault="00CA6BEB" w:rsidP="00CA6BEB">
      <w:pPr>
        <w:pStyle w:val="ListParagraph"/>
        <w:numPr>
          <w:ilvl w:val="0"/>
          <w:numId w:val="4"/>
        </w:numPr>
        <w:ind w:left="709" w:hanging="283"/>
        <w:jc w:val="both"/>
        <w:rPr>
          <w:rFonts w:asciiTheme="majorBidi" w:hAnsiTheme="majorBidi" w:cstheme="majorBidi"/>
          <w:b/>
          <w:bCs/>
          <w:u w:val="single"/>
        </w:rPr>
      </w:pPr>
      <w:r w:rsidRPr="00D6348C">
        <w:rPr>
          <w:rFonts w:asciiTheme="majorBidi" w:hAnsiTheme="majorBidi" w:cstheme="majorBidi"/>
        </w:rPr>
        <w:t xml:space="preserve">Creating jobs, through self-employment especially in rural and remote </w:t>
      </w:r>
      <w:r w:rsidR="00BF416B" w:rsidRPr="00D6348C">
        <w:rPr>
          <w:rFonts w:asciiTheme="majorBidi" w:hAnsiTheme="majorBidi" w:cstheme="majorBidi"/>
        </w:rPr>
        <w:t>areas ;</w:t>
      </w:r>
      <w:r w:rsidR="00BF416B">
        <w:rPr>
          <w:rFonts w:asciiTheme="majorBidi" w:hAnsiTheme="majorBidi" w:cstheme="majorBidi"/>
        </w:rPr>
        <w:t xml:space="preserve">( </w:t>
      </w:r>
      <w:r w:rsidR="00BF416B" w:rsidRPr="00BF416B">
        <w:rPr>
          <w:rFonts w:asciiTheme="majorBidi" w:hAnsiTheme="majorBidi" w:cstheme="majorBidi"/>
          <w:b/>
          <w:bCs/>
          <w:u w:val="single"/>
        </w:rPr>
        <w:t>x-workers in Israel and mainly settlements</w:t>
      </w:r>
      <w:r w:rsidR="00BF416B">
        <w:rPr>
          <w:rFonts w:asciiTheme="majorBidi" w:hAnsiTheme="majorBidi" w:cstheme="majorBidi"/>
          <w:b/>
          <w:bCs/>
          <w:u w:val="single"/>
        </w:rPr>
        <w:t xml:space="preserve"> after COVID19 era</w:t>
      </w:r>
      <w:r w:rsidR="00BF416B" w:rsidRPr="00BF416B">
        <w:rPr>
          <w:rFonts w:asciiTheme="majorBidi" w:hAnsiTheme="majorBidi" w:cstheme="majorBidi"/>
          <w:b/>
          <w:bCs/>
          <w:u w:val="single"/>
        </w:rPr>
        <w:t>.</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t>Guaranteeing some of the specific risks that vulnerable clients face.</w:t>
      </w:r>
    </w:p>
    <w:p w:rsidR="00CA6BEB" w:rsidRPr="00D6348C" w:rsidRDefault="00CA6BEB" w:rsidP="00CA6BEB">
      <w:pPr>
        <w:pStyle w:val="ListParagraph"/>
        <w:ind w:left="1146"/>
        <w:jc w:val="both"/>
        <w:rPr>
          <w:rFonts w:asciiTheme="majorBidi" w:hAnsiTheme="majorBidi" w:cstheme="majorBidi"/>
        </w:rPr>
      </w:pPr>
    </w:p>
    <w:p w:rsidR="00CA6BEB" w:rsidRPr="00D6348C" w:rsidRDefault="00CA6BEB" w:rsidP="00CA6BEB">
      <w:pPr>
        <w:ind w:left="426"/>
        <w:jc w:val="both"/>
        <w:rPr>
          <w:rFonts w:asciiTheme="majorBidi" w:hAnsiTheme="majorBidi" w:cstheme="majorBidi"/>
        </w:rPr>
      </w:pPr>
      <w:r w:rsidRPr="00D6348C">
        <w:rPr>
          <w:rFonts w:asciiTheme="majorBidi" w:hAnsiTheme="majorBidi" w:cstheme="majorBidi"/>
        </w:rPr>
        <w:t>Out of these objectives, the expected results are:</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lastRenderedPageBreak/>
        <w:t>Result 1: Access of the vulnerable people to financial resources is sustained through generating funds and mobilizing resources;</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t>Result 2: MFIs members of DfS are enabled to provide financial services to vulnerable entrepreneurs who exposed to the Israeli illegal occupation policies and measures;</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t>Result 3: A supportive national policies and structures that respond to the external political shocks is formalized through the support of DfS.</w:t>
      </w:r>
    </w:p>
    <w:p w:rsidR="00CA6BEB" w:rsidRPr="00407089" w:rsidRDefault="00CA6BEB" w:rsidP="00CA6BEB">
      <w:pPr>
        <w:jc w:val="both"/>
        <w:rPr>
          <w:rFonts w:ascii="Arial" w:hAnsi="Arial" w:cs="Arial"/>
          <w:sz w:val="22"/>
          <w:szCs w:val="22"/>
        </w:rPr>
      </w:pPr>
    </w:p>
    <w:p w:rsidR="00CA6BEB" w:rsidRPr="00D6348C" w:rsidRDefault="00CA6BEB" w:rsidP="00CA6BEB">
      <w:pPr>
        <w:pStyle w:val="Heading2"/>
        <w:numPr>
          <w:ilvl w:val="1"/>
          <w:numId w:val="3"/>
        </w:numPr>
        <w:tabs>
          <w:tab w:val="left" w:pos="426"/>
        </w:tabs>
        <w:jc w:val="both"/>
        <w:rPr>
          <w:rFonts w:asciiTheme="majorBidi" w:hAnsiTheme="majorBidi"/>
          <w:b/>
          <w:color w:val="2E74B5" w:themeColor="accent1" w:themeShade="BF"/>
          <w:sz w:val="24"/>
          <w:szCs w:val="24"/>
        </w:rPr>
      </w:pPr>
      <w:bookmarkStart w:id="8" w:name="_Toc413426153"/>
      <w:bookmarkStart w:id="9" w:name="_Toc414271818"/>
      <w:r w:rsidRPr="00D6348C">
        <w:rPr>
          <w:rFonts w:asciiTheme="majorBidi" w:hAnsiTheme="majorBidi"/>
          <w:b/>
          <w:color w:val="2E74B5" w:themeColor="accent1" w:themeShade="BF"/>
          <w:sz w:val="24"/>
          <w:szCs w:val="24"/>
        </w:rPr>
        <w:t>Direct &amp; indirect beneficiaries</w:t>
      </w:r>
      <w:bookmarkEnd w:id="8"/>
      <w:bookmarkEnd w:id="9"/>
      <w:r w:rsidRPr="00D6348C">
        <w:rPr>
          <w:rFonts w:asciiTheme="majorBidi" w:hAnsiTheme="majorBidi"/>
          <w:b/>
          <w:color w:val="2E74B5" w:themeColor="accent1" w:themeShade="BF"/>
          <w:sz w:val="24"/>
          <w:szCs w:val="24"/>
        </w:rPr>
        <w:t xml:space="preserve"> </w:t>
      </w:r>
    </w:p>
    <w:p w:rsidR="00CA6BEB" w:rsidRPr="00D6348C" w:rsidRDefault="00CA6BEB" w:rsidP="00CA6BEB">
      <w:pPr>
        <w:jc w:val="both"/>
        <w:rPr>
          <w:rFonts w:asciiTheme="majorBidi" w:hAnsiTheme="majorBidi" w:cstheme="majorBidi"/>
        </w:rPr>
      </w:pPr>
    </w:p>
    <w:p w:rsidR="00CA6BEB" w:rsidRPr="00D6348C" w:rsidRDefault="00CA6BEB" w:rsidP="00CA6BEB">
      <w:pPr>
        <w:ind w:left="426"/>
        <w:jc w:val="both"/>
        <w:rPr>
          <w:rFonts w:asciiTheme="majorBidi" w:hAnsiTheme="majorBidi" w:cstheme="majorBidi"/>
        </w:rPr>
      </w:pPr>
      <w:r w:rsidRPr="00D6348C">
        <w:rPr>
          <w:rFonts w:asciiTheme="majorBidi" w:hAnsiTheme="majorBidi" w:cstheme="majorBidi"/>
        </w:rPr>
        <w:t>Considering this vision and mission, beneficiaries of DfS are:</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t>Micro entrepreneurs, women &amp; Youth (including farmers &amp; cooperatives);</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t>Producers in all fields of productions as individual borrowers in all areas of Gaza Strip, East Jerusalem and West Bank;</w:t>
      </w:r>
    </w:p>
    <w:p w:rsidR="00CA6BEB" w:rsidRPr="00D6348C" w:rsidRDefault="00CA6BEB" w:rsidP="00CA6BEB">
      <w:pPr>
        <w:pStyle w:val="ListParagraph"/>
        <w:numPr>
          <w:ilvl w:val="0"/>
          <w:numId w:val="4"/>
        </w:numPr>
        <w:ind w:left="709" w:hanging="283"/>
        <w:jc w:val="both"/>
        <w:rPr>
          <w:rFonts w:asciiTheme="majorBidi" w:hAnsiTheme="majorBidi" w:cstheme="majorBidi"/>
        </w:rPr>
      </w:pPr>
      <w:r w:rsidRPr="00D6348C">
        <w:rPr>
          <w:rFonts w:asciiTheme="majorBidi" w:hAnsiTheme="majorBidi" w:cstheme="majorBidi"/>
        </w:rPr>
        <w:t>Micro-enterprises, small businesses, crafts, trades, services which have potential of generating enough profit for the end-user as not to limit his/ her ability to repay the loan;</w:t>
      </w:r>
    </w:p>
    <w:p w:rsidR="00CA6BEB" w:rsidRPr="00D6348C" w:rsidRDefault="00CA6BEB" w:rsidP="00CA6BEB">
      <w:pPr>
        <w:pStyle w:val="ListParagraph"/>
        <w:ind w:left="709"/>
        <w:jc w:val="both"/>
        <w:rPr>
          <w:rFonts w:asciiTheme="majorBidi" w:hAnsiTheme="majorBidi" w:cstheme="majorBidi"/>
        </w:rPr>
      </w:pPr>
      <w:r w:rsidRPr="00D6348C">
        <w:rPr>
          <w:rFonts w:asciiTheme="majorBidi" w:hAnsiTheme="majorBidi" w:cstheme="majorBidi"/>
        </w:rPr>
        <w:t>Vulnerable persons and groups directly affected by policies imposed by the illegal</w:t>
      </w:r>
      <w:r w:rsidRPr="00D6348C">
        <w:rPr>
          <w:rFonts w:asciiTheme="majorBidi" w:hAnsiTheme="majorBidi" w:cstheme="majorBidi"/>
          <w:rtl/>
        </w:rPr>
        <w:t xml:space="preserve"> </w:t>
      </w:r>
      <w:r w:rsidRPr="00D6348C">
        <w:rPr>
          <w:rFonts w:asciiTheme="majorBidi" w:hAnsiTheme="majorBidi" w:cstheme="majorBidi"/>
        </w:rPr>
        <w:t>Israeli occupation.</w:t>
      </w:r>
    </w:p>
    <w:p w:rsidR="00CA6BEB" w:rsidRPr="00D6348C" w:rsidRDefault="00CA6BEB" w:rsidP="00CA6BEB">
      <w:pPr>
        <w:jc w:val="both"/>
        <w:rPr>
          <w:rFonts w:asciiTheme="majorBidi" w:hAnsiTheme="majorBidi" w:cstheme="majorBidi"/>
        </w:rPr>
      </w:pPr>
    </w:p>
    <w:p w:rsidR="00CA6BEB" w:rsidRPr="00D6348C" w:rsidRDefault="00CA6BEB" w:rsidP="00CA6BEB">
      <w:pPr>
        <w:pStyle w:val="Heading1"/>
        <w:keepLines w:val="0"/>
        <w:pBdr>
          <w:top w:val="single" w:sz="18" w:space="1" w:color="235F8C"/>
          <w:bottom w:val="single" w:sz="18" w:space="1" w:color="235F8C"/>
        </w:pBdr>
        <w:shd w:val="clear" w:color="auto" w:fill="DEEAF6" w:themeFill="accent1" w:themeFillTint="33"/>
        <w:spacing w:before="240" w:after="120" w:line="240" w:lineRule="auto"/>
        <w:jc w:val="both"/>
        <w:rPr>
          <w:rFonts w:asciiTheme="majorBidi" w:hAnsiTheme="majorBidi" w:cstheme="majorBidi"/>
          <w:szCs w:val="28"/>
        </w:rPr>
      </w:pPr>
      <w:bookmarkStart w:id="10" w:name="_Toc414271819"/>
      <w:r w:rsidRPr="006220A9">
        <w:rPr>
          <w:rFonts w:ascii="Arial" w:hAnsi="Arial" w:cs="Arial"/>
          <w:color w:val="auto"/>
          <w:szCs w:val="28"/>
        </w:rPr>
        <w:t xml:space="preserve">2. </w:t>
      </w:r>
      <w:r w:rsidRPr="00D6348C">
        <w:rPr>
          <w:rFonts w:asciiTheme="majorBidi" w:hAnsiTheme="majorBidi" w:cstheme="majorBidi"/>
          <w:color w:val="auto"/>
          <w:szCs w:val="28"/>
        </w:rPr>
        <w:t>Challenges and perspectives</w:t>
      </w:r>
      <w:bookmarkEnd w:id="10"/>
      <w:r w:rsidRPr="00D6348C">
        <w:rPr>
          <w:rFonts w:asciiTheme="majorBidi" w:hAnsiTheme="majorBidi" w:cstheme="majorBidi"/>
          <w:color w:val="auto"/>
          <w:szCs w:val="28"/>
        </w:rPr>
        <w:t xml:space="preserve"> </w:t>
      </w:r>
    </w:p>
    <w:p w:rsidR="00CA6BEB" w:rsidRPr="00D6348C" w:rsidRDefault="00CA6BEB" w:rsidP="00CA6BEB">
      <w:pPr>
        <w:jc w:val="both"/>
        <w:rPr>
          <w:rFonts w:asciiTheme="majorBidi" w:hAnsiTheme="majorBidi" w:cstheme="majorBidi"/>
        </w:rPr>
      </w:pPr>
    </w:p>
    <w:p w:rsidR="00CA6BEB" w:rsidRPr="00D6348C" w:rsidRDefault="00CA6BEB" w:rsidP="00CA6BEB">
      <w:pPr>
        <w:jc w:val="both"/>
        <w:rPr>
          <w:rFonts w:asciiTheme="majorBidi" w:hAnsiTheme="majorBidi" w:cstheme="majorBidi"/>
        </w:rPr>
      </w:pPr>
      <w:r w:rsidRPr="00D6348C">
        <w:rPr>
          <w:rFonts w:asciiTheme="majorBidi" w:hAnsiTheme="majorBidi" w:cstheme="majorBidi"/>
        </w:rPr>
        <w:t xml:space="preserve">As unique Guarantee scheme fund for non-banking social enterprises, DAMAN for SME’s has to face different challenges. The first one is to formalize the specific conditions for eligibility to DfS insurance. </w:t>
      </w:r>
    </w:p>
    <w:p w:rsidR="00CA6BEB" w:rsidRPr="00D6348C" w:rsidRDefault="00CA6BEB" w:rsidP="00CA6BEB">
      <w:pPr>
        <w:jc w:val="both"/>
        <w:rPr>
          <w:rFonts w:asciiTheme="majorBidi" w:hAnsiTheme="majorBidi" w:cstheme="majorBidi"/>
        </w:rPr>
      </w:pPr>
    </w:p>
    <w:p w:rsidR="00CA6BEB" w:rsidRPr="00D6348C" w:rsidRDefault="00CA6BEB" w:rsidP="00CA6BEB">
      <w:pPr>
        <w:pStyle w:val="Heading2"/>
        <w:tabs>
          <w:tab w:val="left" w:pos="426"/>
        </w:tabs>
        <w:jc w:val="both"/>
        <w:rPr>
          <w:rFonts w:asciiTheme="majorBidi" w:hAnsiTheme="majorBidi"/>
          <w:b/>
          <w:color w:val="2E74B5" w:themeColor="accent1" w:themeShade="BF"/>
          <w:sz w:val="24"/>
          <w:szCs w:val="24"/>
        </w:rPr>
      </w:pPr>
      <w:bookmarkStart w:id="11" w:name="_Toc414271820"/>
      <w:r w:rsidRPr="00D6348C">
        <w:rPr>
          <w:rFonts w:asciiTheme="majorBidi" w:hAnsiTheme="majorBidi"/>
          <w:b/>
          <w:color w:val="2E74B5" w:themeColor="accent1" w:themeShade="BF"/>
          <w:sz w:val="24"/>
          <w:szCs w:val="24"/>
        </w:rPr>
        <w:t>2.1 Definition of claim eligibility criteria</w:t>
      </w:r>
      <w:bookmarkEnd w:id="11"/>
    </w:p>
    <w:p w:rsidR="00CA6BEB" w:rsidRPr="00D6348C" w:rsidRDefault="00CA6BEB" w:rsidP="00CA6BEB">
      <w:pPr>
        <w:jc w:val="both"/>
        <w:rPr>
          <w:rFonts w:asciiTheme="majorBidi" w:hAnsiTheme="majorBidi" w:cstheme="majorBidi"/>
        </w:rPr>
      </w:pPr>
    </w:p>
    <w:p w:rsidR="00CA6BEB" w:rsidRPr="00D6348C" w:rsidRDefault="00CA6BEB" w:rsidP="00CA6BEB">
      <w:pPr>
        <w:ind w:left="426"/>
        <w:jc w:val="both"/>
        <w:rPr>
          <w:rFonts w:asciiTheme="majorBidi" w:hAnsiTheme="majorBidi" w:cstheme="majorBidi"/>
        </w:rPr>
      </w:pPr>
      <w:r w:rsidRPr="00D6348C">
        <w:rPr>
          <w:rFonts w:asciiTheme="majorBidi" w:hAnsiTheme="majorBidi" w:cstheme="majorBidi"/>
        </w:rPr>
        <w:t>DAMAN for SME’s will encourage ACADF, REEF</w:t>
      </w:r>
      <w:r>
        <w:rPr>
          <w:rFonts w:asciiTheme="majorBidi" w:hAnsiTheme="majorBidi" w:cstheme="majorBidi"/>
        </w:rPr>
        <w:t xml:space="preserve"> Finance </w:t>
      </w:r>
      <w:r w:rsidRPr="00D6348C">
        <w:rPr>
          <w:rFonts w:asciiTheme="majorBidi" w:hAnsiTheme="majorBidi" w:cstheme="majorBidi"/>
        </w:rPr>
        <w:t>and ASALA by providing insurance to highly vulnerable borrowers as a form of re-financing. This coverage leads to pay the loan outstanding balance to ACADF,</w:t>
      </w:r>
      <w:r>
        <w:rPr>
          <w:rFonts w:asciiTheme="majorBidi" w:hAnsiTheme="majorBidi" w:cstheme="majorBidi"/>
        </w:rPr>
        <w:t xml:space="preserve"> REEF Finance </w:t>
      </w:r>
      <w:r w:rsidRPr="00D6348C">
        <w:rPr>
          <w:rFonts w:asciiTheme="majorBidi" w:hAnsiTheme="majorBidi" w:cstheme="majorBidi"/>
        </w:rPr>
        <w:t>and ASALA on behalf of the borrower without compensating the interest or fees on loans. In that perspective, the following specific conditions</w:t>
      </w:r>
      <w:r w:rsidRPr="00D6348C">
        <w:rPr>
          <w:rStyle w:val="FootnoteReference"/>
          <w:rFonts w:asciiTheme="majorBidi" w:hAnsiTheme="majorBidi" w:cstheme="majorBidi"/>
        </w:rPr>
        <w:footnoteReference w:id="2"/>
      </w:r>
      <w:r w:rsidRPr="00D6348C">
        <w:rPr>
          <w:rFonts w:asciiTheme="majorBidi" w:hAnsiTheme="majorBidi" w:cstheme="majorBidi"/>
        </w:rPr>
        <w:t xml:space="preserve"> has been highlighted for eligibility:</w:t>
      </w:r>
    </w:p>
    <w:p w:rsidR="00CA6BEB" w:rsidRPr="00D6348C" w:rsidRDefault="00CA6BEB" w:rsidP="00CA6BEB">
      <w:pPr>
        <w:pStyle w:val="ListParagraph"/>
        <w:numPr>
          <w:ilvl w:val="0"/>
          <w:numId w:val="2"/>
        </w:numPr>
        <w:ind w:left="709" w:hanging="283"/>
        <w:jc w:val="both"/>
        <w:rPr>
          <w:rFonts w:asciiTheme="majorBidi" w:hAnsiTheme="majorBidi" w:cstheme="majorBidi"/>
        </w:rPr>
      </w:pPr>
      <w:r w:rsidRPr="00D6348C">
        <w:rPr>
          <w:rFonts w:asciiTheme="majorBidi" w:hAnsiTheme="majorBidi" w:cstheme="majorBidi"/>
        </w:rPr>
        <w:t>Borrowers who are impacted due to restrictions on trade to the local market or exports to Israel or abroad;</w:t>
      </w:r>
    </w:p>
    <w:p w:rsidR="00CA6BEB" w:rsidRPr="00D6348C" w:rsidRDefault="00CA6BEB" w:rsidP="00CA6BEB">
      <w:pPr>
        <w:pStyle w:val="ListParagraph"/>
        <w:numPr>
          <w:ilvl w:val="0"/>
          <w:numId w:val="2"/>
        </w:numPr>
        <w:ind w:left="709" w:hanging="283"/>
        <w:jc w:val="both"/>
        <w:rPr>
          <w:rFonts w:asciiTheme="majorBidi" w:hAnsiTheme="majorBidi" w:cstheme="majorBidi"/>
        </w:rPr>
      </w:pPr>
      <w:r w:rsidRPr="00D6348C">
        <w:rPr>
          <w:rFonts w:asciiTheme="majorBidi" w:hAnsiTheme="majorBidi" w:cstheme="majorBidi"/>
        </w:rPr>
        <w:t xml:space="preserve">Borrower and /or first degree relative which contribute to the family income or working in the financed project killed by Israeli army causing a direct impact on borrower’s repayment capacity; </w:t>
      </w:r>
    </w:p>
    <w:p w:rsidR="00CA6BEB" w:rsidRPr="00D6348C" w:rsidRDefault="00CA6BEB" w:rsidP="00CA6BEB">
      <w:pPr>
        <w:pStyle w:val="ListParagraph"/>
        <w:numPr>
          <w:ilvl w:val="0"/>
          <w:numId w:val="2"/>
        </w:numPr>
        <w:ind w:left="709" w:hanging="283"/>
        <w:jc w:val="both"/>
        <w:rPr>
          <w:rFonts w:asciiTheme="majorBidi" w:hAnsiTheme="majorBidi" w:cstheme="majorBidi"/>
        </w:rPr>
      </w:pPr>
      <w:r w:rsidRPr="00D6348C">
        <w:rPr>
          <w:rFonts w:asciiTheme="majorBidi" w:hAnsiTheme="majorBidi" w:cstheme="majorBidi"/>
        </w:rPr>
        <w:t xml:space="preserve">Project initiated by the entrepreneur destroyed totally or partially by Israeli occupation; </w:t>
      </w:r>
    </w:p>
    <w:p w:rsidR="00CA6BEB" w:rsidRPr="00D6348C" w:rsidRDefault="00CA6BEB" w:rsidP="00CA6BEB">
      <w:pPr>
        <w:pStyle w:val="ListParagraph"/>
        <w:numPr>
          <w:ilvl w:val="0"/>
          <w:numId w:val="2"/>
        </w:numPr>
        <w:ind w:left="709" w:hanging="283"/>
        <w:jc w:val="both"/>
        <w:rPr>
          <w:rFonts w:asciiTheme="majorBidi" w:hAnsiTheme="majorBidi" w:cstheme="majorBidi"/>
        </w:rPr>
      </w:pPr>
      <w:r w:rsidRPr="00D6348C">
        <w:rPr>
          <w:rFonts w:asciiTheme="majorBidi" w:hAnsiTheme="majorBidi" w:cstheme="majorBidi"/>
        </w:rPr>
        <w:t xml:space="preserve">Entrepreneurs jailed for political reasons (6) months or more; </w:t>
      </w:r>
    </w:p>
    <w:p w:rsidR="00CA6BEB" w:rsidRPr="00D6348C" w:rsidRDefault="00CA6BEB" w:rsidP="00CA6BEB">
      <w:pPr>
        <w:pStyle w:val="ListParagraph"/>
        <w:numPr>
          <w:ilvl w:val="0"/>
          <w:numId w:val="2"/>
        </w:numPr>
        <w:ind w:left="709" w:hanging="283"/>
        <w:jc w:val="both"/>
        <w:rPr>
          <w:rFonts w:asciiTheme="majorBidi" w:hAnsiTheme="majorBidi" w:cstheme="majorBidi"/>
        </w:rPr>
      </w:pPr>
      <w:r w:rsidRPr="00D6348C">
        <w:rPr>
          <w:rFonts w:asciiTheme="majorBidi" w:hAnsiTheme="majorBidi" w:cstheme="majorBidi"/>
        </w:rPr>
        <w:lastRenderedPageBreak/>
        <w:t>Long term curfew (occurring after loan extension) affecting production process for period longer than (1) month or affected the sale of the product(s);</w:t>
      </w:r>
    </w:p>
    <w:p w:rsidR="00CA6BEB" w:rsidRPr="00D6348C" w:rsidRDefault="00CA6BEB" w:rsidP="00CA6BEB">
      <w:pPr>
        <w:pStyle w:val="ListParagraph"/>
        <w:numPr>
          <w:ilvl w:val="0"/>
          <w:numId w:val="2"/>
        </w:numPr>
        <w:ind w:left="709" w:hanging="283"/>
        <w:jc w:val="both"/>
        <w:rPr>
          <w:rFonts w:asciiTheme="majorBidi" w:hAnsiTheme="majorBidi" w:cstheme="majorBidi"/>
        </w:rPr>
      </w:pPr>
      <w:r w:rsidRPr="00D6348C">
        <w:rPr>
          <w:rFonts w:asciiTheme="majorBidi" w:hAnsiTheme="majorBidi" w:cstheme="majorBidi"/>
        </w:rPr>
        <w:t>Confiscation of land related to the project.</w:t>
      </w:r>
    </w:p>
    <w:p w:rsidR="00CA6BEB" w:rsidRPr="00D6348C" w:rsidRDefault="00CA6BEB" w:rsidP="00CA6BEB">
      <w:pPr>
        <w:jc w:val="both"/>
        <w:rPr>
          <w:rFonts w:asciiTheme="majorBidi" w:hAnsiTheme="majorBidi" w:cstheme="majorBidi"/>
        </w:rPr>
      </w:pPr>
    </w:p>
    <w:p w:rsidR="00CA6BEB" w:rsidRPr="00D6348C" w:rsidRDefault="00CA6BEB" w:rsidP="00CA6BEB">
      <w:pPr>
        <w:ind w:left="426"/>
        <w:jc w:val="both"/>
        <w:rPr>
          <w:rFonts w:asciiTheme="majorBidi" w:hAnsiTheme="majorBidi" w:cstheme="majorBidi"/>
        </w:rPr>
      </w:pPr>
      <w:r w:rsidRPr="00D6348C">
        <w:rPr>
          <w:rFonts w:asciiTheme="majorBidi" w:hAnsiTheme="majorBidi" w:cstheme="majorBidi"/>
        </w:rPr>
        <w:t xml:space="preserve">The diversity and the increasing number of potential borrowers as well as the fragile economic and social context lead to a global capacity building process. </w:t>
      </w:r>
    </w:p>
    <w:p w:rsidR="00CA6BEB" w:rsidRPr="00D6348C" w:rsidRDefault="00CA6BEB" w:rsidP="00CA6BEB">
      <w:pPr>
        <w:jc w:val="both"/>
        <w:rPr>
          <w:rFonts w:asciiTheme="majorBidi" w:hAnsiTheme="majorBidi" w:cstheme="majorBidi"/>
        </w:rPr>
      </w:pPr>
    </w:p>
    <w:p w:rsidR="00CA6BEB" w:rsidRPr="00D6348C" w:rsidRDefault="00CA6BEB" w:rsidP="00CA6BEB">
      <w:pPr>
        <w:pStyle w:val="Heading2"/>
        <w:tabs>
          <w:tab w:val="left" w:pos="426"/>
        </w:tabs>
        <w:jc w:val="both"/>
        <w:rPr>
          <w:rFonts w:asciiTheme="majorBidi" w:hAnsiTheme="majorBidi"/>
          <w:b/>
          <w:color w:val="2E74B5" w:themeColor="accent1" w:themeShade="BF"/>
          <w:sz w:val="24"/>
          <w:szCs w:val="24"/>
        </w:rPr>
      </w:pPr>
      <w:bookmarkStart w:id="12" w:name="_Toc414271821"/>
      <w:r w:rsidRPr="006220A9">
        <w:rPr>
          <w:b/>
          <w:color w:val="2E74B5" w:themeColor="accent1" w:themeShade="BF"/>
        </w:rPr>
        <w:t xml:space="preserve">2.2 </w:t>
      </w:r>
      <w:r w:rsidRPr="00D6348C">
        <w:rPr>
          <w:rFonts w:asciiTheme="majorBidi" w:hAnsiTheme="majorBidi"/>
          <w:b/>
          <w:color w:val="2E74B5" w:themeColor="accent1" w:themeShade="BF"/>
          <w:sz w:val="28"/>
          <w:szCs w:val="28"/>
        </w:rPr>
        <w:t>Build capacities for DfS and partners to achieve operational excellence</w:t>
      </w:r>
      <w:bookmarkEnd w:id="12"/>
    </w:p>
    <w:p w:rsidR="00CA6BEB" w:rsidRPr="00D6348C" w:rsidRDefault="00CA6BEB" w:rsidP="00CA6BEB">
      <w:pPr>
        <w:jc w:val="both"/>
        <w:rPr>
          <w:rFonts w:asciiTheme="majorBidi" w:hAnsiTheme="majorBidi" w:cstheme="majorBidi"/>
        </w:rPr>
      </w:pPr>
    </w:p>
    <w:p w:rsidR="00CA6BEB" w:rsidRPr="00D6348C" w:rsidRDefault="00CA6BEB" w:rsidP="00CA6BEB">
      <w:pPr>
        <w:ind w:left="426"/>
        <w:jc w:val="both"/>
        <w:rPr>
          <w:rFonts w:asciiTheme="majorBidi" w:hAnsiTheme="majorBidi" w:cstheme="majorBidi"/>
        </w:rPr>
      </w:pPr>
      <w:r w:rsidRPr="00D6348C">
        <w:rPr>
          <w:rFonts w:asciiTheme="majorBidi" w:hAnsiTheme="majorBidi" w:cstheme="majorBidi"/>
        </w:rPr>
        <w:t>This global enhancement process can be highlighted in three complementary phases:</w:t>
      </w:r>
    </w:p>
    <w:p w:rsidR="00CA6BEB" w:rsidRPr="00D6348C" w:rsidRDefault="00CA6BEB" w:rsidP="00CA6BEB">
      <w:pPr>
        <w:jc w:val="both"/>
        <w:rPr>
          <w:rStyle w:val="Heading1Char"/>
          <w:rFonts w:asciiTheme="majorBidi" w:hAnsiTheme="majorBidi" w:cstheme="majorBidi"/>
        </w:rPr>
      </w:pPr>
    </w:p>
    <w:p w:rsidR="00CA6BEB" w:rsidRPr="00D6348C" w:rsidRDefault="00CA6BEB" w:rsidP="00CA6BEB">
      <w:pPr>
        <w:ind w:firstLine="426"/>
        <w:jc w:val="both"/>
        <w:rPr>
          <w:rFonts w:asciiTheme="majorBidi" w:hAnsiTheme="majorBidi" w:cstheme="majorBidi"/>
          <w:b/>
          <w:bCs/>
          <w:color w:val="2E74B5" w:themeColor="accent1" w:themeShade="BF"/>
          <w:sz w:val="28"/>
          <w:szCs w:val="28"/>
        </w:rPr>
      </w:pPr>
      <w:r w:rsidRPr="00D6348C">
        <w:rPr>
          <w:rFonts w:asciiTheme="majorBidi" w:hAnsiTheme="majorBidi" w:cstheme="majorBidi"/>
          <w:b/>
          <w:bCs/>
          <w:color w:val="2E74B5" w:themeColor="accent1" w:themeShade="BF"/>
          <w:sz w:val="28"/>
          <w:szCs w:val="28"/>
        </w:rPr>
        <w:t>First phase: Urgent phase (2018 -2019):</w:t>
      </w:r>
    </w:p>
    <w:p w:rsidR="00CA6BEB" w:rsidRPr="00D6348C" w:rsidRDefault="00CA6BEB" w:rsidP="00CA6BEB">
      <w:pPr>
        <w:ind w:firstLine="426"/>
        <w:jc w:val="both"/>
        <w:rPr>
          <w:rStyle w:val="Heading1Char"/>
          <w:rFonts w:asciiTheme="majorBidi" w:hAnsiTheme="majorBidi" w:cstheme="majorBidi"/>
          <w:color w:val="000000" w:themeColor="text1"/>
          <w:lang w:val="en-US" w:eastAsia="en-US"/>
        </w:rPr>
      </w:pPr>
    </w:p>
    <w:p w:rsidR="00CA6BEB" w:rsidRPr="00D6348C" w:rsidRDefault="00CA6BEB" w:rsidP="00CA6BEB">
      <w:pPr>
        <w:ind w:left="426"/>
        <w:jc w:val="both"/>
        <w:rPr>
          <w:rFonts w:asciiTheme="majorBidi" w:hAnsiTheme="majorBidi" w:cstheme="majorBidi"/>
        </w:rPr>
      </w:pPr>
      <w:r w:rsidRPr="00D6348C">
        <w:rPr>
          <w:rFonts w:asciiTheme="majorBidi" w:hAnsiTheme="majorBidi" w:cstheme="majorBidi"/>
        </w:rPr>
        <w:t>In order to communicate about DfS current challenges, several studies has been done such as:</w:t>
      </w:r>
    </w:p>
    <w:p w:rsidR="00CA6BEB" w:rsidRPr="00D6348C" w:rsidRDefault="00CA6BEB" w:rsidP="00CA6BEB">
      <w:pPr>
        <w:pStyle w:val="ListParagraph"/>
        <w:numPr>
          <w:ilvl w:val="0"/>
          <w:numId w:val="2"/>
        </w:numPr>
        <w:ind w:left="426" w:firstLine="0"/>
        <w:jc w:val="both"/>
        <w:rPr>
          <w:rFonts w:asciiTheme="majorBidi" w:hAnsiTheme="majorBidi" w:cstheme="majorBidi"/>
        </w:rPr>
      </w:pPr>
      <w:r w:rsidRPr="00D6348C">
        <w:rPr>
          <w:rFonts w:asciiTheme="majorBidi" w:hAnsiTheme="majorBidi" w:cstheme="majorBidi"/>
        </w:rPr>
        <w:t>Study for the emergency situation concerning Micro Finance  in Gaza strip (annexe 1);</w:t>
      </w:r>
    </w:p>
    <w:p w:rsidR="00CA6BEB" w:rsidRPr="00D6348C" w:rsidRDefault="00CA6BEB" w:rsidP="00CA6BEB">
      <w:pPr>
        <w:pStyle w:val="ListParagraph"/>
        <w:numPr>
          <w:ilvl w:val="0"/>
          <w:numId w:val="2"/>
        </w:numPr>
        <w:ind w:left="426" w:firstLine="0"/>
        <w:jc w:val="both"/>
        <w:rPr>
          <w:rFonts w:asciiTheme="majorBidi" w:hAnsiTheme="majorBidi" w:cstheme="majorBidi"/>
        </w:rPr>
      </w:pPr>
      <w:r w:rsidRPr="00D6348C">
        <w:rPr>
          <w:rFonts w:asciiTheme="majorBidi" w:hAnsiTheme="majorBidi" w:cstheme="majorBidi"/>
        </w:rPr>
        <w:t>Study about the strategic plan for DAMAN for SME’s (Annexe 2);</w:t>
      </w:r>
    </w:p>
    <w:p w:rsidR="00CA6BEB" w:rsidRDefault="00CA6BEB" w:rsidP="00CA6BEB">
      <w:pPr>
        <w:jc w:val="both"/>
        <w:rPr>
          <w:rStyle w:val="Heading1Char"/>
          <w:rFonts w:asciiTheme="majorBidi" w:hAnsiTheme="majorBidi" w:cstheme="majorBidi"/>
        </w:rPr>
      </w:pPr>
    </w:p>
    <w:p w:rsidR="00CA6BEB" w:rsidRPr="00D6348C" w:rsidRDefault="00CA6BEB" w:rsidP="00CA6BEB">
      <w:pPr>
        <w:jc w:val="both"/>
        <w:rPr>
          <w:rStyle w:val="Heading1Char"/>
          <w:rFonts w:asciiTheme="majorBidi" w:hAnsiTheme="majorBidi" w:cstheme="majorBidi"/>
        </w:rPr>
      </w:pPr>
    </w:p>
    <w:p w:rsidR="00CA6BEB" w:rsidRPr="00D6348C" w:rsidRDefault="00CA6BEB" w:rsidP="00CA6BEB">
      <w:pPr>
        <w:ind w:firstLine="426"/>
        <w:jc w:val="both"/>
        <w:rPr>
          <w:rFonts w:asciiTheme="majorBidi" w:hAnsiTheme="majorBidi" w:cstheme="majorBidi"/>
          <w:b/>
          <w:bCs/>
          <w:color w:val="2E74B5" w:themeColor="accent1" w:themeShade="BF"/>
          <w:sz w:val="28"/>
          <w:szCs w:val="28"/>
        </w:rPr>
      </w:pPr>
      <w:r w:rsidRPr="00D6348C">
        <w:rPr>
          <w:rFonts w:asciiTheme="majorBidi" w:hAnsiTheme="majorBidi" w:cstheme="majorBidi"/>
          <w:b/>
          <w:bCs/>
          <w:color w:val="2E74B5" w:themeColor="accent1" w:themeShade="BF"/>
          <w:sz w:val="28"/>
          <w:szCs w:val="28"/>
        </w:rPr>
        <w:t>Second phase: Medium phase (2019-2020):</w:t>
      </w:r>
    </w:p>
    <w:p w:rsidR="00CA6BEB" w:rsidRPr="00D6348C" w:rsidRDefault="00CA6BEB" w:rsidP="00CA6BEB">
      <w:pPr>
        <w:jc w:val="both"/>
        <w:rPr>
          <w:rFonts w:asciiTheme="majorBidi" w:hAnsiTheme="majorBidi" w:cstheme="majorBidi"/>
        </w:rPr>
      </w:pPr>
    </w:p>
    <w:p w:rsidR="00CA6BEB" w:rsidRPr="00D6348C" w:rsidRDefault="00CA6BEB" w:rsidP="00CA6BEB">
      <w:pPr>
        <w:ind w:left="426"/>
        <w:jc w:val="both"/>
        <w:rPr>
          <w:rFonts w:asciiTheme="majorBidi" w:eastAsiaTheme="majorEastAsia" w:hAnsiTheme="majorBidi" w:cstheme="majorBidi"/>
          <w:b/>
          <w:bCs/>
          <w:color w:val="000090"/>
        </w:rPr>
      </w:pPr>
      <w:r w:rsidRPr="00D6348C">
        <w:rPr>
          <w:rFonts w:asciiTheme="majorBidi" w:hAnsiTheme="majorBidi" w:cstheme="majorBidi"/>
        </w:rPr>
        <w:t>In a medium term perspective, DAMAN for SME’s will work in the following:</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Internal re-structuring and capacity building of DAMAN for SME’s to ensure solid management structure and active governance body (DAMAN for SME’s sustainability);</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Capacity building for ASALA</w:t>
      </w:r>
      <w:r>
        <w:rPr>
          <w:rFonts w:asciiTheme="majorBidi" w:hAnsiTheme="majorBidi" w:cstheme="majorBidi"/>
        </w:rPr>
        <w:t xml:space="preserve"> ,REEF Finance </w:t>
      </w:r>
      <w:r w:rsidRPr="00D6348C">
        <w:rPr>
          <w:rFonts w:asciiTheme="majorBidi" w:hAnsiTheme="majorBidi" w:cstheme="majorBidi"/>
        </w:rPr>
        <w:t>and ACADF, encourage development of joint portfolios with Private banks  and International developmental and financial agencies such as for instance AFD;</w:t>
      </w:r>
      <w:r w:rsidR="00B462BC">
        <w:rPr>
          <w:rFonts w:asciiTheme="majorBidi" w:hAnsiTheme="majorBidi" w:cstheme="majorBidi"/>
        </w:rPr>
        <w:t>EBI,EBRD.</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Generate funds for capacity building for ASALA, ACADF</w:t>
      </w:r>
      <w:r>
        <w:rPr>
          <w:rFonts w:asciiTheme="majorBidi" w:hAnsiTheme="majorBidi" w:cstheme="majorBidi"/>
        </w:rPr>
        <w:t xml:space="preserve">, REEF Finance </w:t>
      </w:r>
      <w:r w:rsidRPr="00D6348C">
        <w:rPr>
          <w:rFonts w:asciiTheme="majorBidi" w:hAnsiTheme="majorBidi" w:cstheme="majorBidi"/>
        </w:rPr>
        <w:t xml:space="preserve"> and other potential MFI’s  staff (credit officers) encouraging new target groups to become well prepared to get credit from ASALA , ACADF </w:t>
      </w:r>
      <w:r>
        <w:rPr>
          <w:rFonts w:asciiTheme="majorBidi" w:hAnsiTheme="majorBidi" w:cstheme="majorBidi"/>
        </w:rPr>
        <w:t xml:space="preserve">, REEF Finance </w:t>
      </w:r>
      <w:r w:rsidRPr="00D6348C">
        <w:rPr>
          <w:rFonts w:asciiTheme="majorBidi" w:hAnsiTheme="majorBidi" w:cstheme="majorBidi"/>
        </w:rPr>
        <w:t>and other potential MFI’s</w:t>
      </w:r>
      <w:r w:rsidR="00447B25">
        <w:rPr>
          <w:rFonts w:asciiTheme="majorBidi" w:hAnsiTheme="majorBidi" w:cstheme="majorBidi"/>
        </w:rPr>
        <w:t xml:space="preserve"> in close cooperation with SHARAKAH, </w:t>
      </w:r>
      <w:r w:rsidRPr="00D6348C">
        <w:rPr>
          <w:rFonts w:asciiTheme="majorBidi" w:hAnsiTheme="majorBidi" w:cstheme="majorBidi"/>
        </w:rPr>
        <w:t>.</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Generate funds to do studies about MFI’s, MSME and social entrepreneurs;</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Support lobbying and advocacy for the SME’s, MFI’s in Palestine concerning policy issues as Taxes and laws and PA and PMA regulations.</w:t>
      </w:r>
    </w:p>
    <w:p w:rsidR="00CA6BEB" w:rsidRPr="00D6348C" w:rsidRDefault="00CA6BEB" w:rsidP="00CA6BEB">
      <w:pPr>
        <w:pStyle w:val="ListParagraph"/>
        <w:jc w:val="both"/>
        <w:rPr>
          <w:rFonts w:asciiTheme="majorBidi" w:hAnsiTheme="majorBidi" w:cstheme="majorBidi"/>
        </w:rPr>
      </w:pPr>
    </w:p>
    <w:p w:rsidR="00CA6BEB" w:rsidRPr="00407089" w:rsidRDefault="00CA6BEB" w:rsidP="00CA6BEB">
      <w:pPr>
        <w:pStyle w:val="ListParagraph"/>
        <w:jc w:val="both"/>
        <w:rPr>
          <w:rFonts w:ascii="Arial" w:hAnsi="Arial" w:cs="Arial"/>
          <w:sz w:val="22"/>
          <w:szCs w:val="22"/>
        </w:rPr>
      </w:pPr>
    </w:p>
    <w:p w:rsidR="00CA6BEB" w:rsidRPr="00D6348C" w:rsidRDefault="00CA6BEB" w:rsidP="00CA6BEB">
      <w:pPr>
        <w:ind w:firstLine="426"/>
        <w:jc w:val="both"/>
        <w:rPr>
          <w:b/>
          <w:bCs/>
          <w:color w:val="2E74B5" w:themeColor="accent1" w:themeShade="BF"/>
          <w:sz w:val="28"/>
          <w:szCs w:val="28"/>
        </w:rPr>
      </w:pPr>
      <w:r w:rsidRPr="00D6348C">
        <w:rPr>
          <w:b/>
          <w:bCs/>
          <w:color w:val="2E74B5" w:themeColor="accent1" w:themeShade="BF"/>
          <w:sz w:val="28"/>
          <w:szCs w:val="28"/>
        </w:rPr>
        <w:t>Third phase: long term (2019- 2023):</w:t>
      </w:r>
    </w:p>
    <w:p w:rsidR="00CA6BEB" w:rsidRPr="00407089" w:rsidRDefault="00CA6BEB" w:rsidP="00CA6BEB">
      <w:pPr>
        <w:jc w:val="both"/>
      </w:pPr>
    </w:p>
    <w:p w:rsidR="00CA6BEB" w:rsidRPr="00D6348C" w:rsidRDefault="00CA6BEB" w:rsidP="00CA6BEB">
      <w:pPr>
        <w:ind w:left="426"/>
        <w:jc w:val="both"/>
        <w:rPr>
          <w:rFonts w:asciiTheme="majorBidi" w:hAnsiTheme="majorBidi" w:cstheme="majorBidi"/>
        </w:rPr>
      </w:pPr>
      <w:r w:rsidRPr="00D6348C">
        <w:rPr>
          <w:rFonts w:asciiTheme="majorBidi" w:hAnsiTheme="majorBidi" w:cstheme="majorBidi"/>
        </w:rPr>
        <w:t>During the next four year, DAMAN for SME’s aim to achieve the following activities:</w:t>
      </w:r>
    </w:p>
    <w:p w:rsidR="00CA6BEB" w:rsidRPr="00D6348C" w:rsidRDefault="00CA6BEB" w:rsidP="00CA6BEB">
      <w:pPr>
        <w:pStyle w:val="ListParagraph"/>
        <w:numPr>
          <w:ilvl w:val="0"/>
          <w:numId w:val="1"/>
        </w:numPr>
        <w:ind w:left="284" w:firstLine="142"/>
        <w:jc w:val="both"/>
        <w:rPr>
          <w:rFonts w:asciiTheme="majorBidi" w:hAnsiTheme="majorBidi" w:cstheme="majorBidi"/>
        </w:rPr>
      </w:pPr>
      <w:r w:rsidRPr="00D6348C">
        <w:rPr>
          <w:rFonts w:asciiTheme="majorBidi" w:hAnsiTheme="majorBidi" w:cstheme="majorBidi"/>
        </w:rPr>
        <w:t xml:space="preserve">PROPARCO (ARIZ) / AFD financial Risk Sharing Guarantee scheme; </w:t>
      </w:r>
    </w:p>
    <w:p w:rsidR="00CA6BEB" w:rsidRPr="00D6348C" w:rsidRDefault="00CA6BEB" w:rsidP="00CA6BEB">
      <w:pPr>
        <w:pStyle w:val="ListParagraph"/>
        <w:numPr>
          <w:ilvl w:val="0"/>
          <w:numId w:val="1"/>
        </w:numPr>
        <w:ind w:left="284" w:firstLine="142"/>
        <w:jc w:val="both"/>
        <w:rPr>
          <w:rFonts w:asciiTheme="majorBidi" w:hAnsiTheme="majorBidi" w:cstheme="majorBidi"/>
        </w:rPr>
      </w:pPr>
      <w:r w:rsidRPr="00D6348C">
        <w:rPr>
          <w:rFonts w:asciiTheme="majorBidi" w:hAnsiTheme="majorBidi" w:cstheme="majorBidi"/>
        </w:rPr>
        <w:t xml:space="preserve">French Platform for Palestine technical assistance AFD fund; </w:t>
      </w:r>
    </w:p>
    <w:p w:rsidR="00CA6BEB" w:rsidRPr="00D6348C" w:rsidRDefault="00CA6BEB" w:rsidP="00CA6BEB">
      <w:pPr>
        <w:pStyle w:val="ListParagraph"/>
        <w:numPr>
          <w:ilvl w:val="0"/>
          <w:numId w:val="1"/>
        </w:numPr>
        <w:ind w:left="284" w:firstLine="142"/>
        <w:jc w:val="both"/>
        <w:rPr>
          <w:rFonts w:asciiTheme="majorBidi" w:hAnsiTheme="majorBidi" w:cstheme="majorBidi"/>
        </w:rPr>
      </w:pPr>
      <w:r w:rsidRPr="00D6348C">
        <w:rPr>
          <w:rFonts w:asciiTheme="majorBidi" w:hAnsiTheme="majorBidi" w:cstheme="majorBidi"/>
        </w:rPr>
        <w:lastRenderedPageBreak/>
        <w:t xml:space="preserve">EIP / EFSD / EU technical assistant (KFW, AFD as the EPCGF); </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Luxembourg MoFA and EIB in partnership with DAMAN for SME’s to establish a social, technical and endowment guarantee fund for MFI’s and SME’s in Palestine;</w:t>
      </w:r>
    </w:p>
    <w:p w:rsidR="00CA6BEB" w:rsidRPr="00D6348C" w:rsidRDefault="00CA6BEB" w:rsidP="00CA6BEB">
      <w:pPr>
        <w:pStyle w:val="ListParagraph"/>
        <w:numPr>
          <w:ilvl w:val="0"/>
          <w:numId w:val="1"/>
        </w:numPr>
        <w:ind w:left="284" w:firstLine="142"/>
        <w:jc w:val="both"/>
        <w:rPr>
          <w:rFonts w:asciiTheme="majorBidi" w:hAnsiTheme="majorBidi" w:cstheme="majorBidi"/>
        </w:rPr>
      </w:pPr>
      <w:r w:rsidRPr="00D6348C">
        <w:rPr>
          <w:rFonts w:asciiTheme="majorBidi" w:hAnsiTheme="majorBidi" w:cstheme="majorBidi"/>
        </w:rPr>
        <w:t>Luxembourg NGO’s consortium / MoFA technical assistant Fund.</w:t>
      </w:r>
      <w:r w:rsidR="00B462BC">
        <w:rPr>
          <w:rFonts w:asciiTheme="majorBidi" w:hAnsiTheme="majorBidi" w:cstheme="majorBidi"/>
        </w:rPr>
        <w:t>(CPJPO , ADA,SOS F)</w:t>
      </w:r>
      <w:r w:rsidRPr="00D6348C">
        <w:rPr>
          <w:rFonts w:asciiTheme="majorBidi" w:hAnsiTheme="majorBidi" w:cstheme="majorBidi"/>
        </w:rPr>
        <w:t xml:space="preserve"> </w:t>
      </w:r>
    </w:p>
    <w:p w:rsidR="00CA6BEB" w:rsidRPr="00D6348C" w:rsidRDefault="00CA6BEB" w:rsidP="00CA6BEB">
      <w:pPr>
        <w:pStyle w:val="ListParagraph"/>
        <w:ind w:left="426"/>
        <w:jc w:val="both"/>
        <w:rPr>
          <w:rFonts w:asciiTheme="majorBidi" w:hAnsiTheme="majorBidi" w:cstheme="majorBidi"/>
        </w:rPr>
      </w:pPr>
    </w:p>
    <w:p w:rsidR="00CA6BEB" w:rsidRPr="00D6348C" w:rsidRDefault="00CA6BEB" w:rsidP="00CA6BEB">
      <w:pPr>
        <w:pStyle w:val="ListParagraph"/>
        <w:ind w:left="426"/>
        <w:jc w:val="both"/>
        <w:rPr>
          <w:rFonts w:asciiTheme="majorBidi" w:hAnsiTheme="majorBidi" w:cstheme="majorBidi"/>
        </w:rPr>
      </w:pPr>
      <w:r w:rsidRPr="00D6348C">
        <w:rPr>
          <w:rFonts w:asciiTheme="majorBidi" w:hAnsiTheme="majorBidi" w:cstheme="majorBidi"/>
        </w:rPr>
        <w:t>For the time being, DAMAN for SME’s is raising $6</w:t>
      </w:r>
      <w:r>
        <w:rPr>
          <w:rFonts w:asciiTheme="majorBidi" w:hAnsiTheme="majorBidi" w:cstheme="majorBidi"/>
        </w:rPr>
        <w:t>.</w:t>
      </w:r>
      <w:r w:rsidRPr="00D6348C">
        <w:rPr>
          <w:rFonts w:asciiTheme="majorBidi" w:hAnsiTheme="majorBidi" w:cstheme="majorBidi"/>
        </w:rPr>
        <w:t xml:space="preserve">8 Million USD to support ASALA, </w:t>
      </w:r>
      <w:r w:rsidR="00447B25" w:rsidRPr="00D6348C">
        <w:rPr>
          <w:rFonts w:asciiTheme="majorBidi" w:hAnsiTheme="majorBidi" w:cstheme="majorBidi"/>
        </w:rPr>
        <w:t>ACADF,</w:t>
      </w:r>
      <w:r w:rsidR="00447B25">
        <w:rPr>
          <w:rFonts w:asciiTheme="majorBidi" w:hAnsiTheme="majorBidi" w:cstheme="majorBidi"/>
        </w:rPr>
        <w:t xml:space="preserve"> REEF </w:t>
      </w:r>
      <w:r w:rsidRPr="00D6348C">
        <w:rPr>
          <w:rFonts w:asciiTheme="majorBidi" w:hAnsiTheme="majorBidi" w:cstheme="majorBidi"/>
        </w:rPr>
        <w:t xml:space="preserve">and other potential MFI cover a portion of claimed amounts. Achieving its current capacity building process, DfS’s target to become the unique highly reliable guarantee scheme fund for non-banking social small enterprise in OPT. </w:t>
      </w:r>
    </w:p>
    <w:p w:rsidR="00CA6BEB" w:rsidRPr="00D6348C" w:rsidRDefault="00CA6BEB" w:rsidP="00CA6BEB">
      <w:pPr>
        <w:jc w:val="both"/>
        <w:rPr>
          <w:rFonts w:asciiTheme="majorBidi" w:hAnsiTheme="majorBidi" w:cstheme="majorBidi"/>
        </w:rPr>
      </w:pPr>
    </w:p>
    <w:p w:rsidR="00CA6BEB" w:rsidRPr="00D6348C" w:rsidRDefault="00CA6BEB" w:rsidP="00CA6BEB">
      <w:pPr>
        <w:ind w:left="426"/>
        <w:jc w:val="both"/>
        <w:rPr>
          <w:rFonts w:asciiTheme="majorBidi" w:hAnsiTheme="majorBidi" w:cstheme="majorBidi"/>
        </w:rPr>
      </w:pPr>
      <w:r w:rsidRPr="00D6348C">
        <w:rPr>
          <w:rFonts w:asciiTheme="majorBidi" w:hAnsiTheme="majorBidi" w:cstheme="majorBidi"/>
        </w:rPr>
        <w:t>Last but not least and in parallel of the operational change management process, DfS has formalized a unique funding strategy that can be adapted to different potential partners.</w:t>
      </w:r>
    </w:p>
    <w:p w:rsidR="00CA6BEB" w:rsidRPr="00D6348C" w:rsidRDefault="00CA6BEB" w:rsidP="00CA6BEB">
      <w:pPr>
        <w:jc w:val="both"/>
        <w:rPr>
          <w:rFonts w:asciiTheme="majorBidi" w:hAnsiTheme="majorBidi" w:cstheme="majorBidi"/>
        </w:rPr>
      </w:pPr>
    </w:p>
    <w:p w:rsidR="00CA6BEB" w:rsidRPr="00D6348C" w:rsidRDefault="00CA6BEB" w:rsidP="00CA6BEB">
      <w:pPr>
        <w:pStyle w:val="Heading2"/>
        <w:tabs>
          <w:tab w:val="left" w:pos="426"/>
        </w:tabs>
        <w:jc w:val="both"/>
        <w:rPr>
          <w:rFonts w:asciiTheme="majorBidi" w:hAnsiTheme="majorBidi"/>
          <w:b/>
          <w:color w:val="2E74B5" w:themeColor="accent1" w:themeShade="BF"/>
          <w:sz w:val="28"/>
          <w:szCs w:val="28"/>
        </w:rPr>
      </w:pPr>
      <w:bookmarkStart w:id="13" w:name="_Toc414271822"/>
      <w:r w:rsidRPr="00D6348C">
        <w:rPr>
          <w:rFonts w:asciiTheme="majorBidi" w:hAnsiTheme="majorBidi"/>
          <w:b/>
          <w:color w:val="2E74B5" w:themeColor="accent1" w:themeShade="BF"/>
          <w:sz w:val="28"/>
          <w:szCs w:val="28"/>
        </w:rPr>
        <w:t>2.3 Presentation of the DAMAN for SME’s funding strategy</w:t>
      </w:r>
      <w:bookmarkEnd w:id="13"/>
    </w:p>
    <w:p w:rsidR="00CA6BEB" w:rsidRPr="00407089" w:rsidRDefault="00CA6BEB" w:rsidP="00CA6BEB">
      <w:pPr>
        <w:jc w:val="both"/>
        <w:rPr>
          <w:rFonts w:ascii="Arial" w:hAnsi="Arial" w:cs="Arial"/>
          <w:sz w:val="22"/>
          <w:szCs w:val="22"/>
        </w:rPr>
      </w:pPr>
    </w:p>
    <w:p w:rsidR="00CA6BEB" w:rsidRPr="00D6348C" w:rsidRDefault="00CA6BEB" w:rsidP="00CA6BEB">
      <w:pPr>
        <w:ind w:left="426"/>
        <w:jc w:val="both"/>
        <w:rPr>
          <w:rFonts w:asciiTheme="majorBidi" w:hAnsiTheme="majorBidi" w:cstheme="majorBidi"/>
          <w:bCs/>
        </w:rPr>
      </w:pPr>
      <w:r w:rsidRPr="00D6348C">
        <w:rPr>
          <w:rFonts w:asciiTheme="majorBidi" w:hAnsiTheme="majorBidi" w:cstheme="majorBidi"/>
          <w:bCs/>
        </w:rPr>
        <w:t>Different financial supports or actions can contribute to sustain DAMAN for SME’S:</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 xml:space="preserve">Guarantee scheme funds (endowments)&amp; Grants from the EU and its member states including through their development agencies (i.e. PROPARCO /AFD, KFW, MAEE LUX, EIB, Italian cooperation, Arab funds OPEC fund (MEII), and CSR); </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Grants from NGO’s and Solidarity movements which aim to support marginalized people (Women, Youth, Farmers and Cooperatives);</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 xml:space="preserve">Counter-guarantees from international and national financial institutions,   </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An endorsement Letter of Credibility will be given by the Palestinian Authority PMA and Ministry of Finance;</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 xml:space="preserve">Providing technical assistance for DAMAN for SME’s members and MFI’s Network; </w:t>
      </w:r>
    </w:p>
    <w:p w:rsidR="00CA6BEB" w:rsidRPr="00D6348C" w:rsidRDefault="00CA6BEB" w:rsidP="00CA6BEB">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Lobbying and Advocacy in the interest of MFI’s in Palestine (i.e. reduction of taxes, legislations of support);</w:t>
      </w:r>
    </w:p>
    <w:p w:rsidR="00447B25" w:rsidRDefault="00CA6BEB" w:rsidP="00447B25">
      <w:pPr>
        <w:pStyle w:val="ListParagraph"/>
        <w:numPr>
          <w:ilvl w:val="0"/>
          <w:numId w:val="1"/>
        </w:numPr>
        <w:ind w:left="709" w:hanging="283"/>
        <w:jc w:val="both"/>
        <w:rPr>
          <w:rFonts w:asciiTheme="majorBidi" w:hAnsiTheme="majorBidi" w:cstheme="majorBidi"/>
        </w:rPr>
      </w:pPr>
      <w:r w:rsidRPr="00D6348C">
        <w:rPr>
          <w:rFonts w:asciiTheme="majorBidi" w:hAnsiTheme="majorBidi" w:cstheme="majorBidi"/>
        </w:rPr>
        <w:t>Local MFIs will pay 1</w:t>
      </w:r>
      <w:r w:rsidR="00447B25">
        <w:rPr>
          <w:rFonts w:asciiTheme="majorBidi" w:hAnsiTheme="majorBidi" w:cstheme="majorBidi"/>
        </w:rPr>
        <w:t>.5</w:t>
      </w:r>
      <w:r w:rsidRPr="00D6348C">
        <w:rPr>
          <w:rFonts w:asciiTheme="majorBidi" w:hAnsiTheme="majorBidi" w:cstheme="majorBidi"/>
        </w:rPr>
        <w:t xml:space="preserve">% of their portfolio for the services provided by Daman for SME’s. </w:t>
      </w:r>
    </w:p>
    <w:p w:rsidR="00CA6BEB" w:rsidRDefault="00CA6BEB" w:rsidP="00447B25">
      <w:pPr>
        <w:pStyle w:val="ListParagraph"/>
        <w:ind w:left="709"/>
        <w:jc w:val="both"/>
        <w:rPr>
          <w:rFonts w:asciiTheme="majorBidi" w:hAnsiTheme="majorBidi" w:cstheme="majorBidi"/>
        </w:rPr>
      </w:pPr>
      <w:r w:rsidRPr="00D6348C">
        <w:rPr>
          <w:rFonts w:asciiTheme="majorBidi" w:hAnsiTheme="majorBidi" w:cstheme="majorBidi"/>
        </w:rPr>
        <w:t xml:space="preserve">  </w:t>
      </w:r>
    </w:p>
    <w:p w:rsidR="00447B25" w:rsidRPr="00447B25" w:rsidRDefault="00447B25" w:rsidP="00447B25">
      <w:pPr>
        <w:pStyle w:val="ListParagraph"/>
        <w:ind w:left="709"/>
        <w:jc w:val="both"/>
        <w:rPr>
          <w:rFonts w:asciiTheme="majorBidi" w:hAnsiTheme="majorBidi" w:cstheme="majorBidi"/>
          <w:b/>
          <w:bCs/>
        </w:rPr>
      </w:pPr>
      <w:r w:rsidRPr="00447B25">
        <w:rPr>
          <w:rFonts w:asciiTheme="majorBidi" w:hAnsiTheme="majorBidi" w:cstheme="majorBidi"/>
          <w:b/>
          <w:bCs/>
        </w:rPr>
        <w:t>The Ministry of For</w:t>
      </w:r>
      <w:r>
        <w:rPr>
          <w:rFonts w:asciiTheme="majorBidi" w:hAnsiTheme="majorBidi" w:cstheme="majorBidi"/>
          <w:b/>
          <w:bCs/>
        </w:rPr>
        <w:t>e</w:t>
      </w:r>
      <w:r w:rsidRPr="00447B25">
        <w:rPr>
          <w:rFonts w:asciiTheme="majorBidi" w:hAnsiTheme="majorBidi" w:cstheme="majorBidi"/>
          <w:b/>
          <w:bCs/>
        </w:rPr>
        <w:t xml:space="preserve">ign Affairs Luxembourg in partnership with </w:t>
      </w:r>
      <w:r w:rsidR="00B462BC">
        <w:rPr>
          <w:rFonts w:asciiTheme="majorBidi" w:hAnsiTheme="majorBidi" w:cstheme="majorBidi"/>
          <w:b/>
          <w:bCs/>
        </w:rPr>
        <w:t>CPJPO (</w:t>
      </w:r>
      <w:r w:rsidRPr="00447B25">
        <w:rPr>
          <w:rFonts w:asciiTheme="majorBidi" w:hAnsiTheme="majorBidi" w:cstheme="majorBidi"/>
          <w:b/>
          <w:bCs/>
        </w:rPr>
        <w:t>Paix Juste NGO</w:t>
      </w:r>
      <w:r w:rsidR="00B346B3">
        <w:rPr>
          <w:rFonts w:asciiTheme="majorBidi" w:hAnsiTheme="majorBidi" w:cstheme="majorBidi"/>
          <w:b/>
          <w:bCs/>
        </w:rPr>
        <w:t>)</w:t>
      </w:r>
      <w:bookmarkStart w:id="14" w:name="_GoBack"/>
      <w:bookmarkEnd w:id="14"/>
      <w:r w:rsidRPr="00447B25">
        <w:rPr>
          <w:rFonts w:asciiTheme="majorBidi" w:hAnsiTheme="majorBidi" w:cstheme="majorBidi"/>
          <w:b/>
          <w:bCs/>
        </w:rPr>
        <w:t xml:space="preserve"> based in Luxembourg with NGO ACTES from France financed DAMAN for SME’s with 3 year project (80%-20%) with a total budget 1,050,000 Euros started January 2020 –December 2022.</w:t>
      </w:r>
    </w:p>
    <w:p w:rsidR="00CA6BEB" w:rsidRPr="00447B25" w:rsidRDefault="00CA6BEB" w:rsidP="00CA6BEB">
      <w:pPr>
        <w:jc w:val="both"/>
        <w:rPr>
          <w:rFonts w:asciiTheme="majorBidi" w:hAnsiTheme="majorBidi" w:cstheme="majorBidi"/>
          <w:b/>
          <w:bCs/>
        </w:rPr>
      </w:pPr>
    </w:p>
    <w:p w:rsidR="00CA6BEB" w:rsidRPr="00447B25" w:rsidRDefault="00447B25" w:rsidP="00CA6BEB">
      <w:pPr>
        <w:ind w:left="426"/>
        <w:jc w:val="both"/>
        <w:rPr>
          <w:rFonts w:asciiTheme="majorBidi" w:hAnsiTheme="majorBidi" w:cstheme="majorBidi"/>
          <w:b/>
          <w:bCs/>
        </w:rPr>
      </w:pPr>
      <w:r>
        <w:rPr>
          <w:rFonts w:asciiTheme="majorBidi" w:hAnsiTheme="majorBidi" w:cstheme="majorBidi"/>
          <w:b/>
          <w:bCs/>
        </w:rPr>
        <w:t xml:space="preserve">     </w:t>
      </w:r>
      <w:r w:rsidR="00CA6BEB" w:rsidRPr="00447B25">
        <w:rPr>
          <w:rFonts w:asciiTheme="majorBidi" w:hAnsiTheme="majorBidi" w:cstheme="majorBidi"/>
          <w:b/>
          <w:bCs/>
        </w:rPr>
        <w:t xml:space="preserve">SIDI is presently contributing (100,000€, one hundred thousand Euros) as seed money  </w:t>
      </w:r>
      <w:r>
        <w:rPr>
          <w:rFonts w:asciiTheme="majorBidi" w:hAnsiTheme="majorBidi" w:cstheme="majorBidi"/>
          <w:b/>
          <w:bCs/>
        </w:rPr>
        <w:t xml:space="preserve">    </w:t>
      </w:r>
      <w:r w:rsidR="00CA6BEB" w:rsidRPr="00447B25">
        <w:rPr>
          <w:rFonts w:asciiTheme="majorBidi" w:hAnsiTheme="majorBidi" w:cstheme="majorBidi"/>
          <w:b/>
          <w:bCs/>
        </w:rPr>
        <w:t>as guarantee collaterals to make DAMAN for SME’s a reality and Foundation ACTES, created by SIDI, supports DAMAN for SME’s with 14.000 € internal capacity building.</w:t>
      </w:r>
    </w:p>
    <w:p w:rsidR="00CA6BEB" w:rsidRPr="00447B25" w:rsidRDefault="00CA6BEB" w:rsidP="00CA6BEB">
      <w:pPr>
        <w:ind w:left="426"/>
        <w:jc w:val="both"/>
        <w:rPr>
          <w:rFonts w:asciiTheme="majorBidi" w:hAnsiTheme="majorBidi" w:cstheme="majorBidi"/>
          <w:b/>
          <w:bCs/>
          <w:color w:val="000000" w:themeColor="text1"/>
        </w:rPr>
      </w:pPr>
    </w:p>
    <w:p w:rsidR="00CA6BEB" w:rsidRPr="00447B25" w:rsidRDefault="00CA6BEB" w:rsidP="00447B25">
      <w:pPr>
        <w:ind w:left="426"/>
        <w:jc w:val="both"/>
        <w:rPr>
          <w:rFonts w:asciiTheme="majorBidi" w:hAnsiTheme="majorBidi" w:cstheme="majorBidi"/>
          <w:b/>
          <w:bCs/>
        </w:rPr>
      </w:pPr>
      <w:r w:rsidRPr="00447B25">
        <w:rPr>
          <w:rFonts w:asciiTheme="majorBidi" w:hAnsiTheme="majorBidi" w:cstheme="majorBidi"/>
          <w:b/>
          <w:bCs/>
        </w:rPr>
        <w:t>In order to facilitate the increase of capital, DAMAN wi</w:t>
      </w:r>
      <w:r w:rsidR="00447B25">
        <w:rPr>
          <w:rFonts w:asciiTheme="majorBidi" w:hAnsiTheme="majorBidi" w:cstheme="majorBidi"/>
          <w:b/>
          <w:bCs/>
        </w:rPr>
        <w:t>ll develop a promotion strategy.</w:t>
      </w:r>
    </w:p>
    <w:p w:rsidR="00CA6BEB" w:rsidRPr="00D6348C" w:rsidRDefault="00CA6BEB" w:rsidP="00CA6BEB">
      <w:pPr>
        <w:jc w:val="both"/>
        <w:rPr>
          <w:rFonts w:asciiTheme="majorBidi" w:hAnsiTheme="majorBidi" w:cstheme="majorBidi"/>
        </w:rPr>
      </w:pPr>
    </w:p>
    <w:p w:rsidR="00CA6BEB" w:rsidRPr="00407089" w:rsidRDefault="00CA6BEB" w:rsidP="00CA6BEB">
      <w:pPr>
        <w:jc w:val="both"/>
        <w:rPr>
          <w:rFonts w:ascii="Arial" w:hAnsi="Arial" w:cs="Arial"/>
          <w:sz w:val="22"/>
          <w:szCs w:val="22"/>
        </w:rPr>
      </w:pPr>
    </w:p>
    <w:p w:rsidR="00653C25" w:rsidRDefault="00653C25"/>
    <w:sectPr w:rsidR="00653C25" w:rsidSect="00DC487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D0" w:rsidRDefault="009E14D0" w:rsidP="00CA6BEB">
      <w:r>
        <w:separator/>
      </w:r>
    </w:p>
  </w:endnote>
  <w:endnote w:type="continuationSeparator" w:id="0">
    <w:p w:rsidR="009E14D0" w:rsidRDefault="009E14D0" w:rsidP="00CA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43960"/>
      <w:docPartObj>
        <w:docPartGallery w:val="Page Numbers (Bottom of Page)"/>
        <w:docPartUnique/>
      </w:docPartObj>
    </w:sdtPr>
    <w:sdtEndPr>
      <w:rPr>
        <w:color w:val="7F7F7F" w:themeColor="background1" w:themeShade="7F"/>
        <w:spacing w:val="60"/>
      </w:rPr>
    </w:sdtEndPr>
    <w:sdtContent>
      <w:p w:rsidR="00D34FA6" w:rsidRDefault="00A72440">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B346B3">
          <w:rPr>
            <w:noProof/>
          </w:rPr>
          <w:t>10</w:t>
        </w:r>
        <w:r>
          <w:rPr>
            <w:noProof/>
          </w:rPr>
          <w:fldChar w:fldCharType="end"/>
        </w:r>
        <w:r>
          <w:t xml:space="preserve"> | </w:t>
        </w:r>
        <w:r>
          <w:rPr>
            <w:color w:val="7F7F7F" w:themeColor="background1" w:themeShade="7F"/>
            <w:spacing w:val="60"/>
          </w:rPr>
          <w:t>Page</w:t>
        </w:r>
      </w:p>
    </w:sdtContent>
  </w:sdt>
  <w:p w:rsidR="00D34FA6" w:rsidRDefault="00A72440" w:rsidP="00CA6BEB">
    <w:pPr>
      <w:pStyle w:val="Footer"/>
    </w:pPr>
    <w:r>
      <w:t>DAMAN for SME’s concept note 20</w:t>
    </w:r>
    <w:r w:rsidR="00CA6BEB">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D0" w:rsidRDefault="009E14D0" w:rsidP="00CA6BEB">
      <w:r>
        <w:separator/>
      </w:r>
    </w:p>
  </w:footnote>
  <w:footnote w:type="continuationSeparator" w:id="0">
    <w:p w:rsidR="009E14D0" w:rsidRDefault="009E14D0" w:rsidP="00CA6BEB">
      <w:r>
        <w:continuationSeparator/>
      </w:r>
    </w:p>
  </w:footnote>
  <w:footnote w:id="1">
    <w:p w:rsidR="00CA6BEB" w:rsidRPr="006220A9" w:rsidRDefault="00CA6BEB" w:rsidP="00CA6BEB">
      <w:pPr>
        <w:pStyle w:val="FootnoteText"/>
        <w:rPr>
          <w:rFonts w:ascii="Arial" w:hAnsi="Arial" w:cs="Arial"/>
          <w:sz w:val="18"/>
          <w:szCs w:val="18"/>
          <w:lang w:val="en-US"/>
        </w:rPr>
      </w:pPr>
      <w:r w:rsidRPr="006220A9">
        <w:rPr>
          <w:rStyle w:val="FootnoteReference"/>
          <w:rFonts w:ascii="Arial" w:hAnsi="Arial" w:cs="Arial"/>
          <w:sz w:val="18"/>
          <w:szCs w:val="18"/>
          <w:lang w:val="en-US"/>
        </w:rPr>
        <w:footnoteRef/>
      </w:r>
      <w:r w:rsidRPr="006220A9">
        <w:rPr>
          <w:rFonts w:ascii="Arial" w:hAnsi="Arial" w:cs="Arial"/>
          <w:sz w:val="18"/>
          <w:szCs w:val="18"/>
          <w:lang w:val="en-US"/>
        </w:rPr>
        <w:t xml:space="preserve"> OCHA Humanitarian needs overview – Occupied Palestinian Territory. nov 2017 </w:t>
      </w:r>
    </w:p>
  </w:footnote>
  <w:footnote w:id="2">
    <w:p w:rsidR="00CA6BEB" w:rsidRPr="008804A6" w:rsidRDefault="00CA6BEB" w:rsidP="00CA6BEB">
      <w:pPr>
        <w:pStyle w:val="FootnoteText"/>
        <w:rPr>
          <w:rFonts w:ascii="Arial" w:hAnsi="Arial" w:cs="Arial"/>
          <w:sz w:val="18"/>
          <w:szCs w:val="18"/>
        </w:rPr>
      </w:pPr>
      <w:r w:rsidRPr="006220A9">
        <w:rPr>
          <w:rStyle w:val="FootnoteReference"/>
          <w:rFonts w:ascii="Arial" w:hAnsi="Arial" w:cs="Arial"/>
          <w:sz w:val="18"/>
          <w:szCs w:val="18"/>
        </w:rPr>
        <w:footnoteRef/>
      </w:r>
      <w:r w:rsidRPr="006220A9">
        <w:rPr>
          <w:rFonts w:ascii="Arial" w:hAnsi="Arial" w:cs="Arial"/>
          <w:sz w:val="18"/>
          <w:szCs w:val="18"/>
        </w:rPr>
        <w:t xml:space="preserve"> Supporting documents must be provided to meet specific conditions for eligibility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FC" w:rsidRDefault="00A72440" w:rsidP="004625B5">
    <w:pPr>
      <w:pStyle w:val="Header"/>
      <w:jc w:val="center"/>
      <w:rPr>
        <w:b/>
        <w:bCs/>
        <w:i/>
        <w:iCs/>
        <w:sz w:val="36"/>
        <w:szCs w:val="36"/>
        <w:lang w:val="en-US"/>
      </w:rPr>
    </w:pPr>
    <w:r w:rsidRPr="00407089">
      <w:rPr>
        <w:rFonts w:ascii="Arial" w:hAnsi="Arial" w:cs="Arial"/>
        <w:b/>
        <w:bCs/>
        <w:noProof/>
        <w:rtl/>
        <w:lang w:val="en-US" w:eastAsia="en-US"/>
      </w:rPr>
      <w:drawing>
        <wp:inline distT="0" distB="0" distL="0" distR="0" wp14:anchorId="73C4B7DB" wp14:editId="5CCE421F">
          <wp:extent cx="2857500" cy="836930"/>
          <wp:effectExtent l="0" t="0" r="0" b="1270"/>
          <wp:docPr id="1" name="Picture 1" descr="C:\Users\Smart\Desktop\ضمان-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Desktop\ضمان-01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1854" cy="844063"/>
                  </a:xfrm>
                  <a:prstGeom prst="rect">
                    <a:avLst/>
                  </a:prstGeom>
                  <a:noFill/>
                  <a:ln>
                    <a:noFill/>
                  </a:ln>
                </pic:spPr>
              </pic:pic>
            </a:graphicData>
          </a:graphic>
        </wp:inline>
      </w:drawing>
    </w:r>
  </w:p>
  <w:p w:rsidR="00D34FA6" w:rsidRPr="004625B5" w:rsidRDefault="00A72440" w:rsidP="004625B5">
    <w:pPr>
      <w:pStyle w:val="Header"/>
      <w:jc w:val="center"/>
      <w:rPr>
        <w:b/>
        <w:bCs/>
        <w:i/>
        <w:iCs/>
        <w:sz w:val="36"/>
        <w:szCs w:val="36"/>
        <w:lang w:val="en-US"/>
      </w:rPr>
    </w:pPr>
    <w:r w:rsidRPr="004625B5">
      <w:rPr>
        <w:b/>
        <w:bCs/>
        <w:i/>
        <w:iCs/>
        <w:sz w:val="36"/>
        <w:szCs w:val="36"/>
        <w:lang w:val="en-US"/>
      </w:rPr>
      <w:t>DAMAN for SME’s</w:t>
    </w:r>
  </w:p>
  <w:p w:rsidR="00D34FA6" w:rsidRPr="003F0965" w:rsidRDefault="009E14D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786"/>
    <w:multiLevelType w:val="hybridMultilevel"/>
    <w:tmpl w:val="40B85A5C"/>
    <w:lvl w:ilvl="0" w:tplc="723C0418">
      <w:start w:val="1"/>
      <w:numFmt w:val="bullet"/>
      <w:lvlText w:val=""/>
      <w:lvlJc w:val="left"/>
      <w:pPr>
        <w:ind w:left="1146" w:hanging="360"/>
      </w:pPr>
      <w:rPr>
        <w:rFonts w:ascii="Wingdings" w:hAnsi="Wingdings" w:hint="default"/>
        <w:color w:val="8496B0" w:themeColor="text2" w:themeTint="99"/>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225D1393"/>
    <w:multiLevelType w:val="multilevel"/>
    <w:tmpl w:val="685053F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F70D83"/>
    <w:multiLevelType w:val="hybridMultilevel"/>
    <w:tmpl w:val="ADB0CA3E"/>
    <w:lvl w:ilvl="0" w:tplc="11960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03218"/>
    <w:multiLevelType w:val="hybridMultilevel"/>
    <w:tmpl w:val="DCD42B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D24800"/>
    <w:multiLevelType w:val="hybridMultilevel"/>
    <w:tmpl w:val="4F806DA2"/>
    <w:lvl w:ilvl="0" w:tplc="3B86E414">
      <w:start w:val="6"/>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EB"/>
    <w:rsid w:val="0008522C"/>
    <w:rsid w:val="000D39B0"/>
    <w:rsid w:val="00447B25"/>
    <w:rsid w:val="00653C25"/>
    <w:rsid w:val="0076715F"/>
    <w:rsid w:val="008A57D5"/>
    <w:rsid w:val="009E14D0"/>
    <w:rsid w:val="00A72440"/>
    <w:rsid w:val="00B346B3"/>
    <w:rsid w:val="00B462BC"/>
    <w:rsid w:val="00BF416B"/>
    <w:rsid w:val="00CA6BEB"/>
    <w:rsid w:val="00D34DBF"/>
    <w:rsid w:val="00EB6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44A44-3E75-4EB6-8B6A-5F8D7331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BEB"/>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qFormat/>
    <w:rsid w:val="00CA6BEB"/>
    <w:pPr>
      <w:keepNext/>
      <w:keepLines/>
      <w:spacing w:before="480" w:line="276" w:lineRule="auto"/>
      <w:outlineLvl w:val="0"/>
    </w:pPr>
    <w:rPr>
      <w:rFonts w:asciiTheme="minorHAnsi" w:eastAsiaTheme="majorEastAsia" w:hAnsiTheme="minorHAnsi" w:cstheme="minorHAnsi"/>
      <w:b/>
      <w:bCs/>
      <w:color w:val="000090"/>
      <w:sz w:val="28"/>
      <w:lang w:val="en-US" w:eastAsia="en-US"/>
    </w:rPr>
  </w:style>
  <w:style w:type="paragraph" w:styleId="Heading2">
    <w:name w:val="heading 2"/>
    <w:basedOn w:val="Normal"/>
    <w:next w:val="Normal"/>
    <w:link w:val="Heading2Char"/>
    <w:uiPriority w:val="9"/>
    <w:unhideWhenUsed/>
    <w:qFormat/>
    <w:rsid w:val="00CA6BEB"/>
    <w:pPr>
      <w:keepNext/>
      <w:keepLines/>
      <w:spacing w:before="40"/>
      <w:outlineLvl w:val="1"/>
    </w:pPr>
    <w:rPr>
      <w:rFonts w:asciiTheme="majorHAnsi" w:eastAsiaTheme="majorEastAsia" w:hAnsiTheme="majorHAnsi" w:cstheme="majorBidi"/>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B0"/>
    <w:pPr>
      <w:ind w:left="720"/>
      <w:contextualSpacing/>
    </w:pPr>
  </w:style>
  <w:style w:type="character" w:customStyle="1" w:styleId="Heading1Char">
    <w:name w:val="Heading 1 Char"/>
    <w:basedOn w:val="DefaultParagraphFont"/>
    <w:link w:val="Heading1"/>
    <w:rsid w:val="00CA6BEB"/>
    <w:rPr>
      <w:rFonts w:eastAsiaTheme="majorEastAsia" w:cstheme="minorHAnsi"/>
      <w:b/>
      <w:bCs/>
      <w:color w:val="000090"/>
      <w:sz w:val="28"/>
      <w:szCs w:val="24"/>
    </w:rPr>
  </w:style>
  <w:style w:type="character" w:customStyle="1" w:styleId="Heading2Char">
    <w:name w:val="Heading 2 Char"/>
    <w:basedOn w:val="DefaultParagraphFont"/>
    <w:link w:val="Heading2"/>
    <w:uiPriority w:val="9"/>
    <w:rsid w:val="00CA6BEB"/>
    <w:rPr>
      <w:rFonts w:asciiTheme="majorHAnsi" w:eastAsiaTheme="majorEastAsia" w:hAnsiTheme="majorHAnsi" w:cstheme="majorBidi"/>
      <w:color w:val="800000"/>
      <w:sz w:val="26"/>
      <w:szCs w:val="26"/>
      <w:lang w:val="en-GB" w:eastAsia="en-GB"/>
    </w:rPr>
  </w:style>
  <w:style w:type="paragraph" w:styleId="NoSpacing">
    <w:name w:val="No Spacing"/>
    <w:link w:val="NoSpacingChar"/>
    <w:uiPriority w:val="1"/>
    <w:qFormat/>
    <w:rsid w:val="00CA6BEB"/>
    <w:pPr>
      <w:spacing w:after="0" w:line="240" w:lineRule="auto"/>
    </w:pPr>
    <w:rPr>
      <w:rFonts w:eastAsiaTheme="minorEastAsia"/>
    </w:rPr>
  </w:style>
  <w:style w:type="character" w:customStyle="1" w:styleId="NoSpacingChar">
    <w:name w:val="No Spacing Char"/>
    <w:basedOn w:val="DefaultParagraphFont"/>
    <w:link w:val="NoSpacing"/>
    <w:uiPriority w:val="1"/>
    <w:rsid w:val="00CA6BEB"/>
    <w:rPr>
      <w:rFonts w:eastAsiaTheme="minorEastAsia"/>
    </w:rPr>
  </w:style>
  <w:style w:type="table" w:styleId="TableGrid">
    <w:name w:val="Table Grid"/>
    <w:basedOn w:val="TableNormal"/>
    <w:uiPriority w:val="59"/>
    <w:rsid w:val="00CA6BE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CA6BEB"/>
    <w:rPr>
      <w:i/>
      <w:iCs/>
      <w:color w:val="808080" w:themeColor="text1" w:themeTint="7F"/>
    </w:rPr>
  </w:style>
  <w:style w:type="paragraph" w:styleId="Header">
    <w:name w:val="header"/>
    <w:basedOn w:val="Normal"/>
    <w:link w:val="HeaderChar"/>
    <w:uiPriority w:val="99"/>
    <w:unhideWhenUsed/>
    <w:rsid w:val="00CA6BEB"/>
    <w:pPr>
      <w:tabs>
        <w:tab w:val="center" w:pos="4680"/>
        <w:tab w:val="right" w:pos="9360"/>
      </w:tabs>
    </w:pPr>
  </w:style>
  <w:style w:type="character" w:customStyle="1" w:styleId="HeaderChar">
    <w:name w:val="Header Char"/>
    <w:basedOn w:val="DefaultParagraphFont"/>
    <w:link w:val="Header"/>
    <w:uiPriority w:val="99"/>
    <w:rsid w:val="00CA6BEB"/>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CA6BEB"/>
    <w:pPr>
      <w:tabs>
        <w:tab w:val="center" w:pos="4680"/>
        <w:tab w:val="right" w:pos="9360"/>
      </w:tabs>
    </w:pPr>
  </w:style>
  <w:style w:type="character" w:customStyle="1" w:styleId="FooterChar">
    <w:name w:val="Footer Char"/>
    <w:basedOn w:val="DefaultParagraphFont"/>
    <w:link w:val="Footer"/>
    <w:uiPriority w:val="99"/>
    <w:rsid w:val="00CA6BEB"/>
    <w:rPr>
      <w:rFonts w:ascii="Times New Roman" w:hAnsi="Times New Roman" w:cs="Times New Roman"/>
      <w:sz w:val="24"/>
      <w:szCs w:val="24"/>
      <w:lang w:val="en-GB" w:eastAsia="en-GB"/>
    </w:rPr>
  </w:style>
  <w:style w:type="paragraph" w:styleId="TOC1">
    <w:name w:val="toc 1"/>
    <w:basedOn w:val="Normal"/>
    <w:next w:val="Normal"/>
    <w:autoRedefine/>
    <w:uiPriority w:val="39"/>
    <w:unhideWhenUsed/>
    <w:rsid w:val="00CA6BEB"/>
    <w:pPr>
      <w:tabs>
        <w:tab w:val="right" w:leader="dot" w:pos="9350"/>
      </w:tabs>
      <w:spacing w:before="120"/>
    </w:pPr>
    <w:rPr>
      <w:rFonts w:asciiTheme="minorHAnsi" w:hAnsiTheme="minorHAnsi"/>
      <w:b/>
    </w:rPr>
  </w:style>
  <w:style w:type="paragraph" w:styleId="TOC2">
    <w:name w:val="toc 2"/>
    <w:basedOn w:val="Normal"/>
    <w:next w:val="Normal"/>
    <w:autoRedefine/>
    <w:uiPriority w:val="39"/>
    <w:unhideWhenUsed/>
    <w:rsid w:val="00CA6BEB"/>
    <w:pPr>
      <w:ind w:left="240"/>
    </w:pPr>
    <w:rPr>
      <w:rFonts w:asciiTheme="minorHAnsi" w:hAnsiTheme="minorHAnsi"/>
      <w:b/>
      <w:sz w:val="22"/>
      <w:szCs w:val="22"/>
    </w:rPr>
  </w:style>
  <w:style w:type="paragraph" w:styleId="FootnoteText">
    <w:name w:val="footnote text"/>
    <w:basedOn w:val="Normal"/>
    <w:link w:val="FootnoteTextChar"/>
    <w:uiPriority w:val="99"/>
    <w:unhideWhenUsed/>
    <w:rsid w:val="00CA6BEB"/>
  </w:style>
  <w:style w:type="character" w:customStyle="1" w:styleId="FootnoteTextChar">
    <w:name w:val="Footnote Text Char"/>
    <w:basedOn w:val="DefaultParagraphFont"/>
    <w:link w:val="FootnoteText"/>
    <w:uiPriority w:val="99"/>
    <w:rsid w:val="00CA6BEB"/>
    <w:rPr>
      <w:rFonts w:ascii="Times New Roman" w:hAnsi="Times New Roman" w:cs="Times New Roman"/>
      <w:sz w:val="24"/>
      <w:szCs w:val="24"/>
      <w:lang w:val="en-GB" w:eastAsia="en-GB"/>
    </w:rPr>
  </w:style>
  <w:style w:type="character" w:styleId="FootnoteReference">
    <w:name w:val="footnote reference"/>
    <w:basedOn w:val="DefaultParagraphFont"/>
    <w:uiPriority w:val="99"/>
    <w:unhideWhenUsed/>
    <w:rsid w:val="00CA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png@01CFF67C.F7C5166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Judeh Jamal</dc:creator>
  <cp:keywords/>
  <dc:description/>
  <cp:lastModifiedBy>Judeh Jamal </cp:lastModifiedBy>
  <cp:revision>2</cp:revision>
  <dcterms:created xsi:type="dcterms:W3CDTF">2020-07-29T08:15:00Z</dcterms:created>
  <dcterms:modified xsi:type="dcterms:W3CDTF">2020-07-29T08:15:00Z</dcterms:modified>
</cp:coreProperties>
</file>